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84" w:rsidRDefault="0091375B" w:rsidP="00B4439F">
      <w:pPr>
        <w:snapToGrid w:val="0"/>
        <w:spacing w:line="520" w:lineRule="exac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7" o:spid="_x0000_s1026" type="#_x0000_t202" style="position:absolute;left:0;text-align:left;margin-left:378.1pt;margin-top:-29.05pt;width:67.8pt;height:26.4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">
            <v:textbox>
              <w:txbxContent>
                <w:p w:rsidR="005107FB" w:rsidRDefault="005107FB" w:rsidP="005107FB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附件2</w:t>
                  </w:r>
                  <w:r w:rsidR="009F368B">
                    <w:rPr>
                      <w:rFonts w:ascii="微軟正黑體" w:eastAsia="微軟正黑體" w:hAnsi="微軟正黑體"/>
                    </w:rPr>
                    <w:t>-1</w:t>
                  </w:r>
                </w:p>
              </w:txbxContent>
            </v:textbox>
          </v:shape>
        </w:pict>
      </w:r>
      <w:proofErr w:type="gramStart"/>
      <w:r w:rsidR="00D84FAC" w:rsidRPr="005A0170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臺</w:t>
      </w:r>
      <w:proofErr w:type="gramEnd"/>
      <w:r w:rsidR="009E4184" w:rsidRPr="009E4184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南市永華國民運動中心設置太陽光電發電系統標租案</w:t>
      </w:r>
    </w:p>
    <w:p w:rsidR="00C1421A" w:rsidRPr="005A0170" w:rsidRDefault="00B426A4" w:rsidP="00B4439F">
      <w:pPr>
        <w:snapToGrid w:val="0"/>
        <w:spacing w:line="520" w:lineRule="exact"/>
        <w:jc w:val="center"/>
        <w:rPr>
          <w:rFonts w:asciiTheme="minorEastAsia" w:hAnsiTheme="minorEastAsia" w:cs="Times New Roman"/>
          <w:sz w:val="32"/>
          <w:szCs w:val="28"/>
        </w:rPr>
      </w:pPr>
      <w:r w:rsidRPr="005A0170">
        <w:rPr>
          <w:rFonts w:asciiTheme="minorEastAsia" w:hAnsiTheme="minorEastAsia" w:cs="Times New Roman"/>
          <w:sz w:val="32"/>
          <w:szCs w:val="28"/>
        </w:rPr>
        <w:t>太陽光電發電</w:t>
      </w:r>
      <w:r w:rsidR="008D4B4B" w:rsidRPr="005A0170">
        <w:rPr>
          <w:rFonts w:asciiTheme="minorEastAsia" w:hAnsiTheme="minorEastAsia" w:cs="Times New Roman" w:hint="eastAsia"/>
          <w:sz w:val="32"/>
          <w:szCs w:val="28"/>
        </w:rPr>
        <w:t>系統及</w:t>
      </w:r>
      <w:r w:rsidRPr="005A0170">
        <w:rPr>
          <w:rFonts w:asciiTheme="minorEastAsia" w:hAnsiTheme="minorEastAsia" w:cs="Times New Roman"/>
          <w:sz w:val="32"/>
          <w:szCs w:val="28"/>
        </w:rPr>
        <w:t>設備檢驗表</w:t>
      </w:r>
    </w:p>
    <w:p w:rsidR="00B426A4" w:rsidRPr="005A0170" w:rsidRDefault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/>
          <w:sz w:val="28"/>
          <w:szCs w:val="28"/>
        </w:rPr>
        <w:t>設置</w:t>
      </w:r>
      <w:r w:rsidR="00E85B8F" w:rsidRPr="005A0170">
        <w:rPr>
          <w:rFonts w:asciiTheme="minorEastAsia" w:hAnsiTheme="minorEastAsia" w:cs="Times New Roman"/>
          <w:sz w:val="28"/>
          <w:szCs w:val="28"/>
        </w:rPr>
        <w:t>地址：</w:t>
      </w:r>
    </w:p>
    <w:p w:rsidR="005B6BF1" w:rsidRPr="005A0170" w:rsidRDefault="004529A5" w:rsidP="005B6BF1">
      <w:pPr>
        <w:ind w:left="1417" w:hangingChars="506" w:hanging="1417"/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/>
          <w:sz w:val="28"/>
          <w:szCs w:val="28"/>
        </w:rPr>
        <w:t>設置容量：單一模組裝置容量____</w:t>
      </w:r>
      <w:r w:rsidR="005A0170" w:rsidRPr="005A0170">
        <w:rPr>
          <w:rFonts w:asciiTheme="minorEastAsia" w:hAnsiTheme="minorEastAsia" w:cs="Times New Roman"/>
          <w:sz w:val="28"/>
          <w:szCs w:val="28"/>
        </w:rPr>
        <w:t>_____</w:t>
      </w:r>
      <w:r w:rsidRPr="005A0170">
        <w:rPr>
          <w:rFonts w:asciiTheme="minorEastAsia" w:hAnsiTheme="minorEastAsia" w:cs="Times New Roman"/>
          <w:sz w:val="28"/>
          <w:szCs w:val="28"/>
        </w:rPr>
        <w:t>_</w:t>
      </w:r>
      <w:proofErr w:type="gramStart"/>
      <w:r w:rsidRPr="005A0170"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5A0170">
        <w:rPr>
          <w:rFonts w:asciiTheme="minorEastAsia" w:hAnsiTheme="minorEastAsia" w:cs="Times New Roman"/>
          <w:kern w:val="0"/>
          <w:sz w:val="28"/>
          <w:szCs w:val="28"/>
        </w:rPr>
        <w:t>（</w:t>
      </w:r>
      <w:proofErr w:type="spellStart"/>
      <w:r w:rsidR="005B6BF1" w:rsidRPr="005A0170">
        <w:rPr>
          <w:rFonts w:asciiTheme="minorEastAsia" w:hAnsiTheme="minorEastAsia" w:cs="Times New Roman"/>
          <w:kern w:val="0"/>
          <w:sz w:val="28"/>
          <w:szCs w:val="28"/>
        </w:rPr>
        <w:t>kWp</w:t>
      </w:r>
      <w:proofErr w:type="spellEnd"/>
      <w:r w:rsidR="005B6BF1" w:rsidRPr="005A0170">
        <w:rPr>
          <w:rFonts w:asciiTheme="minorEastAsia" w:hAnsiTheme="minorEastAsia" w:cs="Times New Roman"/>
          <w:kern w:val="0"/>
          <w:sz w:val="28"/>
          <w:szCs w:val="28"/>
        </w:rPr>
        <w:t>）</w:t>
      </w:r>
    </w:p>
    <w:p w:rsidR="004529A5" w:rsidRPr="005A0170" w:rsidRDefault="004529A5" w:rsidP="005B6BF1">
      <w:pPr>
        <w:ind w:leftChars="590" w:left="1416" w:firstLine="1"/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</w:pPr>
      <w:r w:rsidRPr="005A0170">
        <w:rPr>
          <w:rFonts w:asciiTheme="minorEastAsia" w:hAnsiTheme="minorEastAsia" w:cs="Times New Roman"/>
          <w:sz w:val="28"/>
          <w:szCs w:val="28"/>
        </w:rPr>
        <w:t>總裝置容量</w:t>
      </w:r>
      <w:r w:rsidR="005A0170" w:rsidRPr="005A0170">
        <w:rPr>
          <w:rFonts w:asciiTheme="minorEastAsia" w:hAnsiTheme="minorEastAsia" w:cs="Times New Roman"/>
          <w:sz w:val="28"/>
          <w:szCs w:val="28"/>
        </w:rPr>
        <w:t>__________</w:t>
      </w:r>
      <w:proofErr w:type="gramStart"/>
      <w:r w:rsidRPr="005A0170"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5A0170">
        <w:rPr>
          <w:rFonts w:asciiTheme="minorEastAsia" w:hAnsiTheme="minorEastAsia" w:cs="Times New Roman"/>
          <w:kern w:val="0"/>
          <w:sz w:val="28"/>
          <w:szCs w:val="28"/>
        </w:rPr>
        <w:t>（</w:t>
      </w:r>
      <w:proofErr w:type="spellStart"/>
      <w:r w:rsidR="005B6BF1" w:rsidRPr="005A0170">
        <w:rPr>
          <w:rFonts w:asciiTheme="minorEastAsia" w:hAnsiTheme="minorEastAsia" w:cs="Times New Roman"/>
          <w:kern w:val="0"/>
          <w:sz w:val="28"/>
          <w:szCs w:val="28"/>
        </w:rPr>
        <w:t>kWp</w:t>
      </w:r>
      <w:proofErr w:type="spellEnd"/>
      <w:r w:rsidR="005B6BF1" w:rsidRPr="005A0170">
        <w:rPr>
          <w:rFonts w:asciiTheme="minorEastAsia" w:hAnsiTheme="minorEastAsia" w:cs="Times New Roman"/>
          <w:kern w:val="0"/>
          <w:sz w:val="28"/>
          <w:szCs w:val="28"/>
        </w:rPr>
        <w:t>）</w:t>
      </w:r>
    </w:p>
    <w:p w:rsidR="004529A5" w:rsidRPr="005A0170" w:rsidRDefault="004529A5" w:rsidP="005B6BF1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 w:hint="eastAsia"/>
          <w:sz w:val="28"/>
          <w:szCs w:val="28"/>
        </w:rPr>
        <w:t>本案業已於中華民國_</w:t>
      </w:r>
      <w:r w:rsidR="005B6BF1" w:rsidRPr="005A0170">
        <w:rPr>
          <w:rFonts w:asciiTheme="minorEastAsia" w:hAnsiTheme="minorEastAsia" w:cs="Times New Roman"/>
          <w:sz w:val="28"/>
          <w:szCs w:val="28"/>
        </w:rPr>
        <w:t>_</w:t>
      </w:r>
      <w:r w:rsidR="005A0170">
        <w:rPr>
          <w:rFonts w:asciiTheme="minorEastAsia" w:hAnsiTheme="minorEastAsia" w:cs="Times New Roman"/>
          <w:sz w:val="28"/>
          <w:szCs w:val="28"/>
        </w:rPr>
        <w:t>___</w:t>
      </w:r>
      <w:r w:rsidRPr="005A0170">
        <w:rPr>
          <w:rFonts w:asciiTheme="minorEastAsia" w:hAnsiTheme="minorEastAsia" w:cs="Times New Roman" w:hint="eastAsia"/>
          <w:sz w:val="28"/>
          <w:szCs w:val="28"/>
        </w:rPr>
        <w:t>_年_</w:t>
      </w:r>
      <w:r w:rsidR="005A0170">
        <w:rPr>
          <w:rFonts w:asciiTheme="minorEastAsia" w:hAnsiTheme="minorEastAsia" w:cs="Times New Roman"/>
          <w:sz w:val="28"/>
          <w:szCs w:val="28"/>
        </w:rPr>
        <w:t>__</w:t>
      </w:r>
      <w:r w:rsidRPr="005A0170">
        <w:rPr>
          <w:rFonts w:asciiTheme="minorEastAsia" w:hAnsiTheme="minorEastAsia" w:cs="Times New Roman" w:hint="eastAsia"/>
          <w:sz w:val="28"/>
          <w:szCs w:val="28"/>
        </w:rPr>
        <w:t>_月_</w:t>
      </w:r>
      <w:r w:rsidR="005A0170">
        <w:rPr>
          <w:rFonts w:asciiTheme="minorEastAsia" w:hAnsiTheme="minorEastAsia" w:cs="Times New Roman"/>
          <w:sz w:val="28"/>
          <w:szCs w:val="28"/>
        </w:rPr>
        <w:t>_</w:t>
      </w:r>
      <w:r w:rsidR="005B6BF1" w:rsidRPr="005A0170">
        <w:rPr>
          <w:rFonts w:asciiTheme="minorEastAsia" w:hAnsiTheme="minorEastAsia" w:cs="Times New Roman"/>
          <w:sz w:val="28"/>
          <w:szCs w:val="28"/>
        </w:rPr>
        <w:t>_</w:t>
      </w:r>
      <w:r w:rsidRPr="005A0170">
        <w:rPr>
          <w:rFonts w:asciiTheme="minorEastAsia" w:hAnsiTheme="minorEastAsia" w:cs="Times New Roman" w:hint="eastAsia"/>
          <w:sz w:val="28"/>
          <w:szCs w:val="28"/>
        </w:rPr>
        <w:t>_日按</w:t>
      </w:r>
      <w:r w:rsidR="00596603" w:rsidRPr="005A0170">
        <w:rPr>
          <w:rFonts w:asciiTheme="minorEastAsia" w:hAnsiTheme="minorEastAsia" w:cs="Times New Roman" w:hint="eastAsia"/>
          <w:sz w:val="28"/>
          <w:szCs w:val="28"/>
        </w:rPr>
        <w:t>圖</w:t>
      </w:r>
      <w:r w:rsidR="008E46BF" w:rsidRPr="005A0170">
        <w:rPr>
          <w:rFonts w:asciiTheme="minorEastAsia" w:hAnsiTheme="minorEastAsia" w:cs="Times New Roman" w:hint="eastAsia"/>
          <w:sz w:val="28"/>
          <w:szCs w:val="28"/>
        </w:rPr>
        <w:t>施工完竣</w:t>
      </w:r>
      <w:r w:rsidRPr="005A0170">
        <w:rPr>
          <w:rFonts w:asciiTheme="minorEastAsia" w:hAnsiTheme="minorEastAsia" w:cs="Times New Roman" w:hint="eastAsia"/>
          <w:sz w:val="28"/>
          <w:szCs w:val="28"/>
        </w:rPr>
        <w:t>，經本____</w:t>
      </w:r>
      <w:r w:rsidR="001B626C" w:rsidRPr="005A0170">
        <w:rPr>
          <w:rFonts w:asciiTheme="minorEastAsia" w:hAnsiTheme="minorEastAsia" w:cs="Times New Roman"/>
          <w:sz w:val="28"/>
          <w:szCs w:val="28"/>
        </w:rPr>
        <w:t>____________</w:t>
      </w:r>
      <w:r w:rsidRPr="005A0170">
        <w:rPr>
          <w:rFonts w:asciiTheme="minorEastAsia" w:hAnsiTheme="minorEastAsia" w:cs="Times New Roman" w:hint="eastAsia"/>
          <w:sz w:val="28"/>
          <w:szCs w:val="28"/>
        </w:rPr>
        <w:t>_____(建築師、土木技師或結構技師)</w:t>
      </w:r>
      <w:r w:rsidR="00B4439F" w:rsidRPr="00B4439F">
        <w:rPr>
          <w:rFonts w:hint="eastAsia"/>
        </w:rPr>
        <w:t xml:space="preserve"> </w:t>
      </w:r>
      <w:r w:rsidR="00B4439F" w:rsidRPr="00B4439F">
        <w:rPr>
          <w:rFonts w:asciiTheme="minorEastAsia" w:hAnsiTheme="minorEastAsia" w:cs="Times New Roman" w:hint="eastAsia"/>
          <w:sz w:val="28"/>
          <w:szCs w:val="28"/>
        </w:rPr>
        <w:t>確認太陽光電發電</w:t>
      </w:r>
      <w:r w:rsidR="00B4439F">
        <w:rPr>
          <w:rFonts w:asciiTheme="minorEastAsia" w:hAnsiTheme="minorEastAsia" w:cs="Times New Roman" w:hint="eastAsia"/>
          <w:sz w:val="28"/>
          <w:szCs w:val="28"/>
        </w:rPr>
        <w:t>設備之主結構、隔絕要求、太陽能模組、支撐架結構與組件、材質</w:t>
      </w:r>
      <w:r w:rsidR="008E46BF" w:rsidRPr="005A0170">
        <w:rPr>
          <w:rFonts w:asciiTheme="minorEastAsia" w:hAnsiTheme="minorEastAsia" w:cs="Times New Roman" w:hint="eastAsia"/>
          <w:sz w:val="28"/>
          <w:szCs w:val="28"/>
        </w:rPr>
        <w:t>，符合「</w:t>
      </w:r>
      <w:r w:rsidR="009E4184" w:rsidRPr="009E4184">
        <w:rPr>
          <w:rFonts w:asciiTheme="minorEastAsia" w:hAnsiTheme="minorEastAsia" w:hint="eastAsia"/>
          <w:b/>
          <w:bCs/>
          <w:sz w:val="28"/>
          <w:szCs w:val="28"/>
        </w:rPr>
        <w:t>臺南市永華國民運動中心設置太陽光電發電系統標租案</w:t>
      </w:r>
      <w:r w:rsidR="00B4439F" w:rsidRPr="00B4439F">
        <w:rPr>
          <w:rFonts w:asciiTheme="minorEastAsia" w:hAnsiTheme="minorEastAsia" w:hint="eastAsia"/>
          <w:b/>
          <w:bCs/>
          <w:sz w:val="28"/>
          <w:szCs w:val="28"/>
        </w:rPr>
        <w:t>租賃契約書</w:t>
      </w:r>
      <w:r w:rsidR="008E46BF" w:rsidRPr="005A0170">
        <w:rPr>
          <w:rFonts w:asciiTheme="minorEastAsia" w:hAnsiTheme="minorEastAsia" w:cs="Times New Roman" w:hint="eastAsia"/>
          <w:sz w:val="28"/>
          <w:szCs w:val="28"/>
        </w:rPr>
        <w:t>」第</w:t>
      </w:r>
      <w:r w:rsidR="002E02A5">
        <w:rPr>
          <w:rFonts w:asciiTheme="minorEastAsia" w:hAnsiTheme="minorEastAsia" w:cs="Times New Roman" w:hint="eastAsia"/>
          <w:sz w:val="28"/>
          <w:szCs w:val="28"/>
        </w:rPr>
        <w:t>三</w:t>
      </w:r>
      <w:r w:rsidR="008E46BF" w:rsidRPr="005A0170">
        <w:rPr>
          <w:rFonts w:asciiTheme="minorEastAsia" w:hAnsiTheme="minorEastAsia" w:cs="Times New Roman" w:hint="eastAsia"/>
          <w:sz w:val="28"/>
          <w:szCs w:val="28"/>
        </w:rPr>
        <w:t>條之規定。</w:t>
      </w:r>
    </w:p>
    <w:p w:rsidR="008E46BF" w:rsidRPr="005A0170" w:rsidRDefault="008E46BF" w:rsidP="004529A5">
      <w:pPr>
        <w:rPr>
          <w:rFonts w:asciiTheme="minorEastAsia" w:hAnsiTheme="minorEastAsia" w:cs="Times New Roman"/>
          <w:sz w:val="28"/>
          <w:szCs w:val="28"/>
        </w:rPr>
      </w:pPr>
    </w:p>
    <w:p w:rsidR="008E46BF" w:rsidRPr="005A0170" w:rsidRDefault="008E46BF" w:rsidP="004529A5">
      <w:pPr>
        <w:rPr>
          <w:rFonts w:asciiTheme="minorEastAsia" w:hAnsiTheme="minorEastAsia" w:cs="Times New Roman"/>
          <w:sz w:val="28"/>
          <w:szCs w:val="28"/>
        </w:rPr>
      </w:pPr>
    </w:p>
    <w:p w:rsidR="004529A5" w:rsidRPr="005A0170" w:rsidRDefault="0091375B" w:rsidP="004529A5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noProof/>
          <w:sz w:val="28"/>
          <w:szCs w:val="28"/>
        </w:rPr>
        <w:pict>
          <v:shape id="文字方塊 2" o:spid="_x0000_s1027" type="#_x0000_t202" style="position:absolute;margin-left:276.85pt;margin-top:16.5pt;width:86.4pt;height:25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" filled="f" stroked="f" strokeweight=".5pt">
            <v:textbox>
              <w:txbxContent>
                <w:p w:rsidR="00122093" w:rsidRPr="00122093" w:rsidRDefault="00122093">
                  <w:pPr>
                    <w:rPr>
                      <w:sz w:val="20"/>
                      <w:szCs w:val="20"/>
                    </w:rPr>
                  </w:pPr>
                  <w:r w:rsidRPr="00122093">
                    <w:rPr>
                      <w:rFonts w:hint="eastAsia"/>
                      <w:sz w:val="20"/>
                      <w:szCs w:val="20"/>
                    </w:rPr>
                    <w:t>開業</w:t>
                  </w:r>
                  <w:r w:rsidRPr="00122093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122093">
                    <w:rPr>
                      <w:rFonts w:hint="eastAsia"/>
                      <w:sz w:val="20"/>
                      <w:szCs w:val="20"/>
                    </w:rPr>
                    <w:t>執業圖戳</w:t>
                  </w:r>
                </w:p>
              </w:txbxContent>
            </v:textbox>
          </v:shape>
        </w:pict>
      </w:r>
      <w:r>
        <w:rPr>
          <w:rFonts w:asciiTheme="minorEastAsia" w:hAnsiTheme="minorEastAsia" w:cs="Times New Roman"/>
          <w:noProof/>
          <w:sz w:val="28"/>
          <w:szCs w:val="28"/>
        </w:rPr>
        <w:pict>
          <v:rect id="矩形 1" o:spid="_x0000_s1028" style="position:absolute;margin-left:271.2pt;margin-top:10.9pt;width:95.15pt;height:91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" filled="f" strokecolor="black [3213]" strokeweight="2pt">
            <v:stroke dashstyle="dash"/>
          </v:rect>
        </w:pict>
      </w:r>
      <w:r w:rsidR="004529A5" w:rsidRPr="005A0170">
        <w:rPr>
          <w:rFonts w:asciiTheme="minorEastAsia" w:hAnsiTheme="minorEastAsia" w:cs="Times New Roman"/>
          <w:sz w:val="28"/>
          <w:szCs w:val="28"/>
        </w:rPr>
        <w:t>簽名</w:t>
      </w:r>
      <w:r w:rsidR="004529A5" w:rsidRPr="005A0170">
        <w:rPr>
          <w:rFonts w:asciiTheme="minorEastAsia" w:hAnsiTheme="minorEastAsia" w:cs="Times New Roman" w:hint="eastAsia"/>
          <w:sz w:val="28"/>
          <w:szCs w:val="28"/>
        </w:rPr>
        <w:t>或蓋章：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 w:hint="eastAsia"/>
          <w:sz w:val="28"/>
          <w:szCs w:val="28"/>
        </w:rPr>
        <w:t>開業/執業執照號碼：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/>
          <w:sz w:val="28"/>
          <w:szCs w:val="28"/>
        </w:rPr>
        <w:t>事務所名稱</w:t>
      </w:r>
      <w:r w:rsidRPr="005A0170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40"/>
          <w:szCs w:val="40"/>
        </w:rPr>
      </w:pPr>
    </w:p>
    <w:p w:rsidR="008E46BF" w:rsidRPr="005A0170" w:rsidRDefault="008E46BF" w:rsidP="001B626C">
      <w:pPr>
        <w:rPr>
          <w:rFonts w:asciiTheme="minorEastAsia" w:hAnsiTheme="minorEastAsia" w:cs="Times New Roman"/>
          <w:sz w:val="40"/>
          <w:szCs w:val="40"/>
        </w:rPr>
      </w:pPr>
    </w:p>
    <w:p w:rsidR="005A0170" w:rsidRDefault="004529A5" w:rsidP="00EB1921">
      <w:pPr>
        <w:jc w:val="distribute"/>
        <w:rPr>
          <w:rFonts w:asciiTheme="minorEastAsia" w:hAnsiTheme="minorEastAsia" w:cs="Times New Roman"/>
          <w:sz w:val="36"/>
          <w:szCs w:val="40"/>
        </w:rPr>
      </w:pPr>
      <w:r w:rsidRPr="001D3F65">
        <w:rPr>
          <w:rFonts w:asciiTheme="minorEastAsia" w:hAnsiTheme="minorEastAsia" w:cs="Times New Roman" w:hint="eastAsia"/>
          <w:sz w:val="36"/>
          <w:szCs w:val="40"/>
        </w:rPr>
        <w:t>中華民國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 </w:t>
      </w:r>
      <w:r w:rsidR="001B626C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5A0170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年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月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5A0170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日</w:t>
      </w:r>
    </w:p>
    <w:p w:rsidR="00B4439F" w:rsidRDefault="00B4439F" w:rsidP="00EB1921">
      <w:pPr>
        <w:jc w:val="distribute"/>
        <w:rPr>
          <w:rFonts w:asciiTheme="minorEastAsia" w:hAnsiTheme="minorEastAsia" w:cs="Times New Roman"/>
          <w:sz w:val="36"/>
          <w:szCs w:val="40"/>
        </w:rPr>
      </w:pPr>
    </w:p>
    <w:p w:rsidR="006430F6" w:rsidRPr="006430F6" w:rsidRDefault="006430F6" w:rsidP="00EB1921">
      <w:pPr>
        <w:jc w:val="distribute"/>
        <w:rPr>
          <w:rFonts w:asciiTheme="minorEastAsia" w:hAnsiTheme="minorEastAsia" w:cs="Times New Roman"/>
          <w:sz w:val="36"/>
          <w:szCs w:val="40"/>
        </w:rPr>
      </w:pPr>
    </w:p>
    <w:p w:rsidR="00B4439F" w:rsidRPr="005E5CC7" w:rsidRDefault="0046323F" w:rsidP="005E5CC7">
      <w:pPr>
        <w:jc w:val="center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bookmarkStart w:id="0" w:name="_Toc4666256"/>
      <w:bookmarkStart w:id="1" w:name="_Toc6305123"/>
      <w:proofErr w:type="gramStart"/>
      <w:r w:rsidRPr="004632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臺</w:t>
      </w:r>
      <w:proofErr w:type="gramEnd"/>
      <w:r w:rsidRPr="004632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南市</w:t>
      </w:r>
      <w:proofErr w:type="gramStart"/>
      <w:r w:rsidRPr="004632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體育處永華</w:t>
      </w:r>
      <w:proofErr w:type="gramEnd"/>
      <w:r w:rsidRPr="004632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國民運動中心設置太陽光電發電系統</w:t>
      </w:r>
      <w:r w:rsidR="00B4439F" w:rsidRPr="005E5CC7">
        <w:rPr>
          <w:rFonts w:ascii="標楷體" w:eastAsia="標楷體" w:hAnsi="標楷體" w:cs="Times New Roman"/>
          <w:b/>
          <w:sz w:val="28"/>
          <w:szCs w:val="28"/>
        </w:rPr>
        <w:t>檢驗項目</w:t>
      </w:r>
      <w:bookmarkEnd w:id="0"/>
      <w:bookmarkEnd w:id="1"/>
    </w:p>
    <w:p w:rsidR="00B4439F" w:rsidRPr="00C7464C" w:rsidRDefault="00B4439F" w:rsidP="00B4439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7219"/>
        <w:gridCol w:w="796"/>
        <w:gridCol w:w="662"/>
      </w:tblGrid>
      <w:tr w:rsidR="00B4439F" w:rsidRPr="00C7464C" w:rsidTr="004B3E8E">
        <w:trPr>
          <w:trHeight w:val="210"/>
        </w:trPr>
        <w:tc>
          <w:tcPr>
            <w:tcW w:w="238" w:type="pct"/>
            <w:vAlign w:val="center"/>
          </w:tcPr>
          <w:p w:rsidR="00B4439F" w:rsidRPr="00C7464C" w:rsidRDefault="00B4439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238" w:type="pct"/>
            <w:vAlign w:val="center"/>
          </w:tcPr>
          <w:p w:rsidR="00B4439F" w:rsidRPr="00C7464C" w:rsidRDefault="00B4439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3764" w:type="pct"/>
            <w:vAlign w:val="center"/>
          </w:tcPr>
          <w:p w:rsidR="00B4439F" w:rsidRPr="00C7464C" w:rsidRDefault="00B4439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15" w:type="pct"/>
            <w:vAlign w:val="center"/>
          </w:tcPr>
          <w:p w:rsidR="00B4439F" w:rsidRPr="00C7464C" w:rsidRDefault="00B4439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檢查</w:t>
            </w:r>
          </w:p>
          <w:p w:rsidR="00B4439F" w:rsidRPr="00C7464C" w:rsidRDefault="00B4439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結果</w:t>
            </w:r>
          </w:p>
        </w:tc>
        <w:tc>
          <w:tcPr>
            <w:tcW w:w="345" w:type="pct"/>
          </w:tcPr>
          <w:p w:rsidR="00B4439F" w:rsidRPr="00C7464C" w:rsidRDefault="00B4439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A407F6" w:rsidRPr="00C7464C" w:rsidTr="004B3E8E">
        <w:trPr>
          <w:trHeight w:val="302"/>
        </w:trPr>
        <w:tc>
          <w:tcPr>
            <w:tcW w:w="238" w:type="pct"/>
            <w:vMerge w:val="restart"/>
            <w:vAlign w:val="center"/>
          </w:tcPr>
          <w:p w:rsidR="00A407F6" w:rsidRPr="0046323F" w:rsidRDefault="00A407F6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屋頂太陽能</w:t>
            </w:r>
          </w:p>
        </w:tc>
        <w:tc>
          <w:tcPr>
            <w:tcW w:w="238" w:type="pct"/>
            <w:vAlign w:val="center"/>
          </w:tcPr>
          <w:p w:rsidR="00A407F6" w:rsidRPr="0046323F" w:rsidRDefault="00A407F6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6323F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3764" w:type="pct"/>
            <w:vAlign w:val="center"/>
          </w:tcPr>
          <w:p w:rsidR="00A407F6" w:rsidRPr="0046323F" w:rsidRDefault="00A407F6" w:rsidP="004B3E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6323F">
              <w:rPr>
                <w:rFonts w:ascii="Times New Roman" w:eastAsia="標楷體" w:hAnsi="Times New Roman" w:cs="Times New Roman"/>
                <w:color w:val="FF0000"/>
                <w:szCs w:val="24"/>
              </w:rPr>
              <w:t>設置之棚架式太陽光電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板</w:t>
            </w:r>
            <w:r w:rsidRPr="004B3E8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配合既有</w:t>
            </w:r>
            <w:proofErr w:type="gramStart"/>
            <w:r w:rsidRPr="004B3E8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複</w:t>
            </w:r>
            <w:proofErr w:type="gramEnd"/>
            <w:r w:rsidRPr="004B3E8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層防火屋頂系統</w:t>
            </w:r>
            <w:proofErr w:type="gramStart"/>
            <w:r w:rsidRPr="004B3E8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規</w:t>
            </w:r>
            <w:proofErr w:type="gramEnd"/>
            <w:r w:rsidRPr="004B3E8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畫，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且參照已架設太陽能板模組施工方式，無</w:t>
            </w:r>
            <w:r w:rsidRPr="004B3E8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螺絲貫穿屋面板。</w:t>
            </w:r>
          </w:p>
        </w:tc>
        <w:tc>
          <w:tcPr>
            <w:tcW w:w="415" w:type="pct"/>
            <w:vAlign w:val="center"/>
          </w:tcPr>
          <w:p w:rsidR="00A407F6" w:rsidRPr="00C7464C" w:rsidRDefault="00A407F6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A407F6" w:rsidRPr="00C7464C" w:rsidRDefault="00A407F6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A407F6" w:rsidRPr="00C7464C" w:rsidRDefault="00A407F6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407F6" w:rsidRPr="00C7464C" w:rsidTr="004B3E8E">
        <w:trPr>
          <w:trHeight w:val="265"/>
        </w:trPr>
        <w:tc>
          <w:tcPr>
            <w:tcW w:w="238" w:type="pct"/>
            <w:vMerge/>
            <w:vAlign w:val="center"/>
          </w:tcPr>
          <w:p w:rsidR="00A407F6" w:rsidRPr="0046323F" w:rsidRDefault="00A407F6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407F6" w:rsidRPr="0046323F" w:rsidRDefault="00A407F6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6323F">
              <w:rPr>
                <w:rFonts w:ascii="Times New Roman" w:eastAsia="標楷體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3764" w:type="pct"/>
            <w:vAlign w:val="center"/>
          </w:tcPr>
          <w:p w:rsidR="00A407F6" w:rsidRPr="0046323F" w:rsidRDefault="0000257F" w:rsidP="0000257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未</w:t>
            </w:r>
            <w:r w:rsidRPr="0000257F">
              <w:rPr>
                <w:rFonts w:ascii="Times New Roman" w:eastAsia="標楷體" w:hAnsi="Times New Roman" w:cs="Times New Roman"/>
                <w:color w:val="FF0000"/>
                <w:szCs w:val="24"/>
              </w:rPr>
              <w:t>以螺絲貫穿屋面板方式施工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  <w:tc>
          <w:tcPr>
            <w:tcW w:w="415" w:type="pct"/>
          </w:tcPr>
          <w:p w:rsidR="00A407F6" w:rsidRPr="00C7464C" w:rsidRDefault="00A407F6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A407F6" w:rsidRPr="00C7464C" w:rsidRDefault="00A407F6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A407F6" w:rsidRPr="00C7464C" w:rsidRDefault="00A407F6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5CA7" w:rsidRPr="00C7464C" w:rsidTr="00A95CA7">
        <w:trPr>
          <w:trHeight w:val="542"/>
        </w:trPr>
        <w:tc>
          <w:tcPr>
            <w:tcW w:w="238" w:type="pct"/>
            <w:vMerge/>
            <w:vAlign w:val="center"/>
          </w:tcPr>
          <w:p w:rsidR="00A95CA7" w:rsidRPr="0046323F" w:rsidRDefault="00A95CA7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95CA7" w:rsidRPr="0046323F" w:rsidRDefault="00A95CA7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</w:t>
            </w:r>
          </w:p>
        </w:tc>
        <w:tc>
          <w:tcPr>
            <w:tcW w:w="3764" w:type="pct"/>
            <w:vAlign w:val="center"/>
          </w:tcPr>
          <w:p w:rsidR="00A95CA7" w:rsidRDefault="00A95CA7" w:rsidP="0000257F">
            <w:pPr>
              <w:spacing w:line="360" w:lineRule="exact"/>
              <w:jc w:val="both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A95C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未裝設太陽能光電</w:t>
            </w:r>
            <w:proofErr w:type="gramStart"/>
            <w:r w:rsidRPr="00A95C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版處裝</w:t>
            </w:r>
            <w:proofErr w:type="gramEnd"/>
            <w:r w:rsidRPr="00A95C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設遮陽板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</w:t>
            </w:r>
            <w:r w:rsidRPr="00A95C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遮陽板</w:t>
            </w:r>
            <w:proofErr w:type="gramStart"/>
            <w:r w:rsidRPr="00A95C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外型須同</w:t>
            </w:r>
            <w:proofErr w:type="gramEnd"/>
            <w:r w:rsidRPr="00A95C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太陽能光電板。</w:t>
            </w:r>
          </w:p>
        </w:tc>
        <w:tc>
          <w:tcPr>
            <w:tcW w:w="415" w:type="pct"/>
          </w:tcPr>
          <w:p w:rsidR="00A95CA7" w:rsidRPr="00C7464C" w:rsidRDefault="00A95CA7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5" w:type="pct"/>
          </w:tcPr>
          <w:p w:rsidR="00A95CA7" w:rsidRPr="00C7464C" w:rsidRDefault="00A95CA7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407F6" w:rsidRPr="00C7464C" w:rsidTr="004B3E8E">
        <w:trPr>
          <w:trHeight w:val="265"/>
        </w:trPr>
        <w:tc>
          <w:tcPr>
            <w:tcW w:w="238" w:type="pct"/>
            <w:vMerge/>
            <w:vAlign w:val="center"/>
          </w:tcPr>
          <w:p w:rsidR="00A407F6" w:rsidRPr="0046323F" w:rsidRDefault="00A407F6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407F6" w:rsidRPr="0046323F" w:rsidRDefault="00A95CA7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4</w:t>
            </w:r>
          </w:p>
        </w:tc>
        <w:tc>
          <w:tcPr>
            <w:tcW w:w="3764" w:type="pct"/>
            <w:vAlign w:val="center"/>
          </w:tcPr>
          <w:p w:rsidR="00A407F6" w:rsidRDefault="00A407F6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407F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建構不透水之屋頂</w:t>
            </w:r>
            <w:r w:rsidR="0076689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並</w:t>
            </w:r>
            <w:r w:rsidR="00766890" w:rsidRPr="0076689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有防漏水設計。</w:t>
            </w:r>
          </w:p>
        </w:tc>
        <w:tc>
          <w:tcPr>
            <w:tcW w:w="415" w:type="pct"/>
          </w:tcPr>
          <w:p w:rsidR="00A407F6" w:rsidRPr="00C7464C" w:rsidRDefault="00A407F6" w:rsidP="00A407F6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A407F6" w:rsidRPr="00C7464C" w:rsidRDefault="00A407F6" w:rsidP="00A407F6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A407F6" w:rsidRPr="00C7464C" w:rsidRDefault="00A407F6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00257F">
        <w:trPr>
          <w:trHeight w:val="963"/>
        </w:trPr>
        <w:tc>
          <w:tcPr>
            <w:tcW w:w="238" w:type="pct"/>
            <w:vMerge w:val="restart"/>
            <w:vAlign w:val="center"/>
          </w:tcPr>
          <w:p w:rsidR="0000257F" w:rsidRPr="0046323F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汽車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停車場鋼棚</w:t>
            </w:r>
            <w:proofErr w:type="gramEnd"/>
          </w:p>
        </w:tc>
        <w:tc>
          <w:tcPr>
            <w:tcW w:w="238" w:type="pct"/>
            <w:vAlign w:val="center"/>
          </w:tcPr>
          <w:p w:rsidR="0000257F" w:rsidRPr="0046323F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</w:p>
        </w:tc>
        <w:tc>
          <w:tcPr>
            <w:tcW w:w="3764" w:type="pct"/>
            <w:vAlign w:val="center"/>
          </w:tcPr>
          <w:p w:rsidR="0000257F" w:rsidRDefault="00766890" w:rsidP="009E2B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汽車停車場均搭設鋼棚，未裝設太陽能光電版處裝設</w:t>
            </w:r>
            <w:r w:rsid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遮陽板</w:t>
            </w:r>
            <w:r w:rsidR="00A95CA7" w:rsidRPr="00A95C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，遮陽板外型須同太陽能光電板</w:t>
            </w:r>
            <w:bookmarkStart w:id="2" w:name="_GoBack"/>
            <w:bookmarkEnd w:id="2"/>
            <w:r w:rsid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  <w:tc>
          <w:tcPr>
            <w:tcW w:w="415" w:type="pct"/>
            <w:vAlign w:val="center"/>
          </w:tcPr>
          <w:p w:rsidR="0000257F" w:rsidRPr="00C7464C" w:rsidRDefault="0000257F" w:rsidP="004762EB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4762E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265"/>
        </w:trPr>
        <w:tc>
          <w:tcPr>
            <w:tcW w:w="238" w:type="pct"/>
            <w:vMerge/>
            <w:vAlign w:val="center"/>
          </w:tcPr>
          <w:p w:rsidR="0000257F" w:rsidRPr="0046323F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Pr="0046323F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</w:t>
            </w:r>
          </w:p>
        </w:tc>
        <w:tc>
          <w:tcPr>
            <w:tcW w:w="3764" w:type="pct"/>
            <w:vAlign w:val="center"/>
          </w:tcPr>
          <w:p w:rsidR="0000257F" w:rsidRDefault="0000257F" w:rsidP="009B5C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9E2B6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鋼棚離</w:t>
            </w:r>
            <w:proofErr w:type="gramEnd"/>
            <w:r w:rsidRPr="009E2B6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高度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2.</w:t>
            </w:r>
            <w:r w:rsidR="00103A3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56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~3.2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公尺，長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6</w:t>
            </w:r>
            <w:r w:rsidR="00831F1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.12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公尺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  <w:tc>
          <w:tcPr>
            <w:tcW w:w="415" w:type="pct"/>
          </w:tcPr>
          <w:p w:rsidR="0000257F" w:rsidRPr="00C7464C" w:rsidRDefault="0000257F" w:rsidP="004762EB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4762E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00257F">
        <w:trPr>
          <w:trHeight w:val="899"/>
        </w:trPr>
        <w:tc>
          <w:tcPr>
            <w:tcW w:w="238" w:type="pct"/>
            <w:vMerge/>
            <w:vAlign w:val="center"/>
          </w:tcPr>
          <w:p w:rsidR="0000257F" w:rsidRPr="0046323F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</w:t>
            </w:r>
          </w:p>
        </w:tc>
        <w:tc>
          <w:tcPr>
            <w:tcW w:w="3764" w:type="pct"/>
            <w:vAlign w:val="center"/>
          </w:tcPr>
          <w:p w:rsidR="0000257F" w:rsidRDefault="0000257F" w:rsidP="009B5C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有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防漏水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設計</w:t>
            </w:r>
            <w:r w:rsidRPr="008E22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  <w:tc>
          <w:tcPr>
            <w:tcW w:w="415" w:type="pct"/>
          </w:tcPr>
          <w:p w:rsidR="0000257F" w:rsidRPr="00C7464C" w:rsidRDefault="0000257F" w:rsidP="009B5C0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9B5C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00257F">
        <w:trPr>
          <w:trHeight w:val="887"/>
        </w:trPr>
        <w:tc>
          <w:tcPr>
            <w:tcW w:w="238" w:type="pct"/>
            <w:vMerge w:val="restart"/>
            <w:vAlign w:val="center"/>
          </w:tcPr>
          <w:p w:rsidR="0000257F" w:rsidRPr="0046323F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機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車</w:t>
            </w:r>
            <w:proofErr w:type="gramStart"/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停車場鋼棚</w:t>
            </w:r>
            <w:proofErr w:type="gramEnd"/>
          </w:p>
        </w:tc>
        <w:tc>
          <w:tcPr>
            <w:tcW w:w="238" w:type="pct"/>
            <w:vAlign w:val="center"/>
          </w:tcPr>
          <w:p w:rsidR="0000257F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</w:p>
        </w:tc>
        <w:tc>
          <w:tcPr>
            <w:tcW w:w="3764" w:type="pct"/>
            <w:vAlign w:val="center"/>
          </w:tcPr>
          <w:p w:rsidR="0000257F" w:rsidRDefault="00766890" w:rsidP="0000257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機車停車場</w:t>
            </w:r>
            <w:r w:rsid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搭</w:t>
            </w:r>
            <w:proofErr w:type="gramStart"/>
            <w:r w:rsid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設鋼棚</w:t>
            </w:r>
            <w:proofErr w:type="gramEnd"/>
            <w:r w:rsid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，並裝設遮陽板。</w:t>
            </w:r>
          </w:p>
        </w:tc>
        <w:tc>
          <w:tcPr>
            <w:tcW w:w="415" w:type="pct"/>
            <w:vAlign w:val="center"/>
          </w:tcPr>
          <w:p w:rsidR="0000257F" w:rsidRPr="00C7464C" w:rsidRDefault="0000257F" w:rsidP="009B5C0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9B5C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265"/>
        </w:trPr>
        <w:tc>
          <w:tcPr>
            <w:tcW w:w="238" w:type="pct"/>
            <w:vMerge/>
            <w:vAlign w:val="center"/>
          </w:tcPr>
          <w:p w:rsidR="0000257F" w:rsidRPr="0046323F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</w:t>
            </w:r>
          </w:p>
        </w:tc>
        <w:tc>
          <w:tcPr>
            <w:tcW w:w="3764" w:type="pct"/>
            <w:vAlign w:val="center"/>
          </w:tcPr>
          <w:p w:rsidR="0000257F" w:rsidRDefault="0000257F" w:rsidP="009B5C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E2B6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鋼棚離地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高度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2.</w:t>
            </w:r>
            <w:r w:rsidR="00103A3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145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~2.5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公尺，長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</w:t>
            </w:r>
            <w:r w:rsidR="00831F1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.15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公尺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  <w:tc>
          <w:tcPr>
            <w:tcW w:w="415" w:type="pct"/>
          </w:tcPr>
          <w:p w:rsidR="0000257F" w:rsidRPr="00C7464C" w:rsidRDefault="0000257F" w:rsidP="009B5C0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9B5C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265"/>
        </w:trPr>
        <w:tc>
          <w:tcPr>
            <w:tcW w:w="238" w:type="pct"/>
            <w:vMerge/>
            <w:vAlign w:val="center"/>
          </w:tcPr>
          <w:p w:rsidR="0000257F" w:rsidRPr="0046323F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</w:t>
            </w:r>
          </w:p>
        </w:tc>
        <w:tc>
          <w:tcPr>
            <w:tcW w:w="3764" w:type="pct"/>
            <w:vAlign w:val="center"/>
          </w:tcPr>
          <w:p w:rsidR="0000257F" w:rsidRDefault="0000257F" w:rsidP="009B5C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有</w:t>
            </w:r>
            <w:r w:rsidRPr="000025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防漏水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設計</w:t>
            </w:r>
            <w:r w:rsidRPr="008E22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  <w:tc>
          <w:tcPr>
            <w:tcW w:w="415" w:type="pct"/>
          </w:tcPr>
          <w:p w:rsidR="0000257F" w:rsidRPr="00C7464C" w:rsidRDefault="0000257F" w:rsidP="009B5C04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9B5C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454"/>
        </w:trPr>
        <w:tc>
          <w:tcPr>
            <w:tcW w:w="238" w:type="pct"/>
            <w:vMerge w:val="restar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太陽光電模組</w:t>
            </w: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太陽光電模組產品須全數符合經濟部標檢局「台灣高效能太陽光電模組技術規範」自願性產品驗證及通過「太陽光電自願性產品驗證工廠檢查特定規範」</w:t>
            </w:r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253"/>
        </w:trPr>
        <w:tc>
          <w:tcPr>
            <w:tcW w:w="238" w:type="pct"/>
            <w:vMerge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系統規格要求根據「用戶用電設備裝置規則」內太陽能系統專章。並另提出機電技師簽證。</w:t>
            </w:r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339"/>
        </w:trPr>
        <w:tc>
          <w:tcPr>
            <w:tcW w:w="238" w:type="pct"/>
            <w:vMerge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太陽光電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模組鋁框與鋼構材接觸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位置是否加裝鐵氟龍絕緣墊片以隔開二者，避免產生電位差腐蝕</w:t>
            </w:r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609"/>
        </w:trPr>
        <w:tc>
          <w:tcPr>
            <w:tcW w:w="238" w:type="pct"/>
            <w:vMerge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螺絲組與太陽光電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模組鋁框接觸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處之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平板華司下方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應再加裝鐵氟龍絕緣墊片以隔開螺絲組及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模組鋁框</w:t>
            </w:r>
            <w:proofErr w:type="gramEnd"/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239"/>
        </w:trPr>
        <w:tc>
          <w:tcPr>
            <w:tcW w:w="238" w:type="pct"/>
            <w:vMerge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2722CE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為避免場地濕滑，整體設計應達到防漏水。</w:t>
            </w:r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454"/>
        </w:trPr>
        <w:tc>
          <w:tcPr>
            <w:tcW w:w="238" w:type="pct"/>
            <w:vMerge w:val="restar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lastRenderedPageBreak/>
              <w:t>支撐架與</w:t>
            </w:r>
          </w:p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連結組件設計</w:t>
            </w: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pStyle w:val="TableParagraph"/>
              <w:snapToGrid w:val="0"/>
              <w:spacing w:line="360" w:lineRule="exact"/>
              <w:ind w:right="9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結結構設計應符合「</w:t>
            </w:r>
            <w:proofErr w:type="gramStart"/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建築物耐風設計</w:t>
            </w:r>
            <w:proofErr w:type="gramEnd"/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規範及解說」之規定，惟依據「國有公用不動產設置太陽光電發電設備租賃契約書」訂定基本設計風速在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32.5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公尺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秒以下地區者，須採用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32.5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公尺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秒之平均風速作為基本設計風速，另若高於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32.5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公尺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秒地區者，須採用各地區之平均風速作為基本設計風速，並考量陣風反應因子（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G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），由專業技師分別提供結構計算書與各式連結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(Connection)</w:t>
            </w:r>
            <w:r w:rsidRPr="00C746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安全檢核文件。</w:t>
            </w:r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pStyle w:val="TableParagraph"/>
              <w:snapToGrid w:val="0"/>
              <w:spacing w:line="360" w:lineRule="exact"/>
              <w:ind w:right="9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否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pStyle w:val="TableParagraph"/>
              <w:snapToGrid w:val="0"/>
              <w:spacing w:line="360" w:lineRule="exact"/>
              <w:ind w:right="9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00257F" w:rsidRPr="00C7464C" w:rsidTr="004B3E8E">
        <w:trPr>
          <w:trHeight w:val="454"/>
        </w:trPr>
        <w:tc>
          <w:tcPr>
            <w:tcW w:w="238" w:type="pct"/>
            <w:vMerge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結構設計是否依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建築物耐風設計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規範進行設計與檢核，其中用途係數（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），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 xml:space="preserve"> I=1.1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（含）以上、陣風反應因子（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G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），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G=1.88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（含）以上作，為設計與計算基礎</w:t>
            </w:r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454"/>
        </w:trPr>
        <w:tc>
          <w:tcPr>
            <w:tcW w:w="238" w:type="pct"/>
            <w:vMerge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結構設計應符合「建築物耐震設計規範及解說」之規定，其中用途係數（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），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I=1.25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（含）以上作為設計與計算基礎</w:t>
            </w:r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454"/>
        </w:trPr>
        <w:tc>
          <w:tcPr>
            <w:tcW w:w="238" w:type="pct"/>
            <w:vMerge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螺絲組（包含螺絲、螺帽、平華司與彈簧華司等）是否為同一材質，可為熱浸鍍鋅或電鍍鋅材質或不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銹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鋼材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質等抗腐蝕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材質，並取得抗腐蝕品質測試報告</w:t>
            </w:r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454"/>
        </w:trPr>
        <w:tc>
          <w:tcPr>
            <w:tcW w:w="238" w:type="pct"/>
            <w:vMerge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每一構件連結螺絲組是否包含抗腐蝕螺絲、至少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 xml:space="preserve"> 1 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片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彈簧華司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、至少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 xml:space="preserve"> 2 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>片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平板華司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、至少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 xml:space="preserve"> 1 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抗腐蝕六角螺帽以及於六角螺帽上再套上</w:t>
            </w:r>
            <w:r w:rsidRPr="00C7464C">
              <w:rPr>
                <w:rFonts w:ascii="Times New Roman" w:eastAsia="標楷體" w:hAnsi="Times New Roman" w:cs="Times New Roman"/>
                <w:szCs w:val="24"/>
              </w:rPr>
              <w:t xml:space="preserve"> 1 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抗腐蝕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六角蓋型螺帽</w:t>
            </w:r>
            <w:proofErr w:type="gramEnd"/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454"/>
        </w:trPr>
        <w:tc>
          <w:tcPr>
            <w:tcW w:w="238" w:type="pct"/>
            <w:vMerge w:val="restar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支撐架金屬</w:t>
            </w:r>
            <w:proofErr w:type="gramStart"/>
            <w:r w:rsidRPr="00C7464C">
              <w:rPr>
                <w:rFonts w:ascii="Times New Roman" w:eastAsia="標楷體" w:hAnsi="Times New Roman" w:cs="Times New Roman"/>
                <w:szCs w:val="24"/>
              </w:rPr>
              <w:t>基材耐腐蝕</w:t>
            </w:r>
            <w:proofErr w:type="gramEnd"/>
            <w:r w:rsidRPr="00C7464C">
              <w:rPr>
                <w:rFonts w:ascii="Times New Roman" w:eastAsia="標楷體" w:hAnsi="Times New Roman" w:cs="Times New Roman"/>
                <w:szCs w:val="24"/>
              </w:rPr>
              <w:t>性能</w:t>
            </w: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支撐架材質的選擇，下列兩項選擇：</w:t>
            </w:r>
          </w:p>
          <w:p w:rsidR="0000257F" w:rsidRDefault="0000257F" w:rsidP="00B4439F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若採用</w:t>
            </w:r>
            <w:proofErr w:type="gramStart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鋼構基材</w:t>
            </w:r>
            <w:proofErr w:type="gramEnd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，應為一般結構用鋼材（如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ASTM A709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ASTM A36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A572 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等）或冷</w:t>
            </w:r>
            <w:proofErr w:type="gramStart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軋鋼構材外加</w:t>
            </w:r>
            <w:proofErr w:type="gramEnd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表面防蝕處理，或耐候鋼材（如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ASTM A588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，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CNS 4620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，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JIS G3114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等）</w:t>
            </w:r>
          </w:p>
          <w:p w:rsidR="0000257F" w:rsidRPr="00B42FE8" w:rsidRDefault="0000257F" w:rsidP="00B4439F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若採用鋁合金鋁擠型基材，其鋁合金材質應為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6005T5 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或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6061T5 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以上等級，並須符合結構安全要求</w:t>
            </w:r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57F" w:rsidRPr="00C7464C" w:rsidTr="004B3E8E">
        <w:trPr>
          <w:trHeight w:val="454"/>
        </w:trPr>
        <w:tc>
          <w:tcPr>
            <w:tcW w:w="238" w:type="pct"/>
            <w:vMerge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3764" w:type="pct"/>
            <w:vAlign w:val="center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szCs w:val="24"/>
              </w:rPr>
              <w:t>支撐架表面處理的選擇，下列兩項處理方式：</w:t>
            </w:r>
          </w:p>
          <w:p w:rsidR="0000257F" w:rsidRDefault="0000257F" w:rsidP="00B4439F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B42FE8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鋼構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基材</w:t>
            </w:r>
            <w:proofErr w:type="gramEnd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表面處理，須以設置地點符合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ISO  9223 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之腐蝕環境分類等級，且至少以中度腐蝕</w:t>
            </w:r>
            <w:proofErr w:type="gramStart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ISO  9223-C3)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等級以上為處理基準，並以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20 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proofErr w:type="gramStart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含</w:t>
            </w:r>
            <w:proofErr w:type="gramStart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）以上抗</w:t>
            </w:r>
            <w:proofErr w:type="gramEnd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腐蝕性能進行表面處理，並由專業機構提出施作說明與品質保證證明</w:t>
            </w:r>
          </w:p>
          <w:p w:rsidR="0000257F" w:rsidRPr="00B42FE8" w:rsidRDefault="0000257F" w:rsidP="00B4439F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鋁合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金鋁擠型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基材表面處理，其表面處理方式</w:t>
            </w:r>
            <w:proofErr w:type="gramStart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採</w:t>
            </w:r>
            <w:proofErr w:type="gramEnd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陽極處理厚度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14µm 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以上及外加</w:t>
            </w:r>
            <w:proofErr w:type="gramStart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一層膜厚</w:t>
            </w:r>
            <w:proofErr w:type="gramEnd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7µm 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以上之壓克力透明漆之表面防蝕處理，</w:t>
            </w:r>
            <w:proofErr w:type="gramStart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除鋁擠型構材外</w:t>
            </w:r>
            <w:proofErr w:type="gramEnd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的鋁合金板、小配件等之表面處理方式可為陽極處理厚度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7µm 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以上及外加</w:t>
            </w:r>
            <w:proofErr w:type="gramStart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一層膜厚</w:t>
            </w:r>
            <w:proofErr w:type="gramEnd"/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7µm 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以上之壓克力透明漆，且皆需取得具有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TAF </w:t>
            </w:r>
            <w:r w:rsidRPr="00B42FE8">
              <w:rPr>
                <w:rFonts w:ascii="Times New Roman" w:eastAsia="標楷體" w:hAnsi="Times New Roman" w:cs="Times New Roman"/>
                <w:sz w:val="24"/>
                <w:szCs w:val="24"/>
              </w:rPr>
              <w:t>認可之測試實驗室測試合格報告</w:t>
            </w:r>
          </w:p>
        </w:tc>
        <w:tc>
          <w:tcPr>
            <w:tcW w:w="415" w:type="pct"/>
          </w:tcPr>
          <w:p w:rsidR="0000257F" w:rsidRPr="00C7464C" w:rsidRDefault="0000257F" w:rsidP="007D28CF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</w:t>
            </w:r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否</w:t>
            </w:r>
            <w:proofErr w:type="gramEnd"/>
            <w:r w:rsidRPr="00C7464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</w:p>
        </w:tc>
        <w:tc>
          <w:tcPr>
            <w:tcW w:w="345" w:type="pct"/>
          </w:tcPr>
          <w:p w:rsidR="0000257F" w:rsidRPr="00C7464C" w:rsidRDefault="0000257F" w:rsidP="007D28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4439F" w:rsidRPr="00C7464C" w:rsidRDefault="00B4439F" w:rsidP="00B4439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71E9" w:rsidRPr="009B71E9" w:rsidRDefault="00B4439F" w:rsidP="009B71E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註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9B71E9" w:rsidRPr="009B71E9">
        <w:rPr>
          <w:rFonts w:ascii="Times New Roman" w:eastAsia="標楷體" w:hAnsi="Times New Roman" w:cs="Times New Roman"/>
          <w:color w:val="000000" w:themeColor="text1"/>
          <w:szCs w:val="24"/>
        </w:rPr>
        <w:t>(1)</w:t>
      </w:r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檢驗結果須全部為是，若</w:t>
      </w: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有否者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，則需由得標廠商盡速修正，以完成檢驗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請加蓋騎縫章。</w:t>
      </w:r>
    </w:p>
    <w:p w:rsidR="00B4439F" w:rsidRPr="00C7464C" w:rsidRDefault="009B71E9" w:rsidP="009B71E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【是否有補充說明】：□無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□有（如特殊情形、例外狀況等）</w:t>
      </w:r>
      <w:r w:rsidR="00B4439F" w:rsidRPr="00C7464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B4439F" w:rsidRPr="00B4439F" w:rsidRDefault="00B4439F" w:rsidP="00EB1921">
      <w:pPr>
        <w:jc w:val="distribute"/>
        <w:rPr>
          <w:rFonts w:asciiTheme="minorEastAsia" w:hAnsiTheme="minorEastAsia" w:cs="Times New Roman"/>
          <w:sz w:val="36"/>
          <w:szCs w:val="40"/>
        </w:rPr>
      </w:pPr>
    </w:p>
    <w:p w:rsidR="008D4B4B" w:rsidRPr="005A0170" w:rsidRDefault="008D4B4B" w:rsidP="005A0170">
      <w:pPr>
        <w:widowControl/>
        <w:rPr>
          <w:rFonts w:asciiTheme="minorEastAsia" w:hAnsiTheme="minorEastAsia" w:cs="Times New Roman"/>
          <w:sz w:val="40"/>
          <w:szCs w:val="40"/>
        </w:rPr>
      </w:pPr>
    </w:p>
    <w:sectPr w:rsidR="008D4B4B" w:rsidRPr="005A0170" w:rsidSect="000D1AE3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5B" w:rsidRDefault="0091375B" w:rsidP="002C4EF1">
      <w:r>
        <w:separator/>
      </w:r>
    </w:p>
  </w:endnote>
  <w:endnote w:type="continuationSeparator" w:id="0">
    <w:p w:rsidR="0091375B" w:rsidRDefault="0091375B" w:rsidP="002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5B" w:rsidRDefault="0091375B" w:rsidP="002C4EF1">
      <w:r>
        <w:separator/>
      </w:r>
    </w:p>
  </w:footnote>
  <w:footnote w:type="continuationSeparator" w:id="0">
    <w:p w:rsidR="0091375B" w:rsidRDefault="0091375B" w:rsidP="002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B0A"/>
    <w:multiLevelType w:val="hybridMultilevel"/>
    <w:tmpl w:val="4FB42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C2B7A"/>
    <w:multiLevelType w:val="hybridMultilevel"/>
    <w:tmpl w:val="68AAE3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BC1CB8"/>
    <w:multiLevelType w:val="hybridMultilevel"/>
    <w:tmpl w:val="7B225AD0"/>
    <w:lvl w:ilvl="0" w:tplc="0409000F">
      <w:start w:val="1"/>
      <w:numFmt w:val="decimal"/>
      <w:lvlText w:val="%1."/>
      <w:lvlJc w:val="left"/>
      <w:pPr>
        <w:ind w:left="18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3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(一)"/>
      <w:lvlJc w:val="left"/>
      <w:pPr>
        <w:ind w:left="0" w:firstLine="0"/>
      </w:pPr>
    </w:lvl>
    <w:lvl w:ilvl="2">
      <w:start w:val="1"/>
      <w:numFmt w:val="none"/>
      <w:suff w:val="nothing"/>
      <w:lvlText w:val="1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6A4"/>
    <w:rsid w:val="0000257F"/>
    <w:rsid w:val="000426F8"/>
    <w:rsid w:val="00070245"/>
    <w:rsid w:val="0007478A"/>
    <w:rsid w:val="000D1AE3"/>
    <w:rsid w:val="000E5288"/>
    <w:rsid w:val="00103A35"/>
    <w:rsid w:val="00104E5B"/>
    <w:rsid w:val="00114277"/>
    <w:rsid w:val="00122093"/>
    <w:rsid w:val="00124ADA"/>
    <w:rsid w:val="0016752D"/>
    <w:rsid w:val="00196A22"/>
    <w:rsid w:val="001B626C"/>
    <w:rsid w:val="001C1197"/>
    <w:rsid w:val="001D3F65"/>
    <w:rsid w:val="001E56CB"/>
    <w:rsid w:val="002254D2"/>
    <w:rsid w:val="002722CE"/>
    <w:rsid w:val="002C4EF1"/>
    <w:rsid w:val="002E02A5"/>
    <w:rsid w:val="00324506"/>
    <w:rsid w:val="003677B9"/>
    <w:rsid w:val="0038393A"/>
    <w:rsid w:val="00386515"/>
    <w:rsid w:val="003C4DD5"/>
    <w:rsid w:val="00434939"/>
    <w:rsid w:val="00450884"/>
    <w:rsid w:val="004529A5"/>
    <w:rsid w:val="0045382B"/>
    <w:rsid w:val="0046323F"/>
    <w:rsid w:val="00467C56"/>
    <w:rsid w:val="00471C54"/>
    <w:rsid w:val="00474968"/>
    <w:rsid w:val="004B2FC6"/>
    <w:rsid w:val="004B3E8E"/>
    <w:rsid w:val="005107FB"/>
    <w:rsid w:val="00536220"/>
    <w:rsid w:val="0057511C"/>
    <w:rsid w:val="00586B77"/>
    <w:rsid w:val="00596603"/>
    <w:rsid w:val="005A0170"/>
    <w:rsid w:val="005B6BF1"/>
    <w:rsid w:val="005E5CC7"/>
    <w:rsid w:val="005E7253"/>
    <w:rsid w:val="00614193"/>
    <w:rsid w:val="006430F6"/>
    <w:rsid w:val="00695E26"/>
    <w:rsid w:val="006E2212"/>
    <w:rsid w:val="006F7093"/>
    <w:rsid w:val="0070564B"/>
    <w:rsid w:val="00766890"/>
    <w:rsid w:val="007C2261"/>
    <w:rsid w:val="007C3348"/>
    <w:rsid w:val="007C5C56"/>
    <w:rsid w:val="007E1F14"/>
    <w:rsid w:val="008058B1"/>
    <w:rsid w:val="0081261E"/>
    <w:rsid w:val="00831F13"/>
    <w:rsid w:val="008647F8"/>
    <w:rsid w:val="00865A6E"/>
    <w:rsid w:val="008770D1"/>
    <w:rsid w:val="008A3BDB"/>
    <w:rsid w:val="008A7434"/>
    <w:rsid w:val="008B2AD0"/>
    <w:rsid w:val="008D179F"/>
    <w:rsid w:val="008D4B4B"/>
    <w:rsid w:val="008E223F"/>
    <w:rsid w:val="008E46BF"/>
    <w:rsid w:val="0091375B"/>
    <w:rsid w:val="0093782D"/>
    <w:rsid w:val="00950573"/>
    <w:rsid w:val="00956181"/>
    <w:rsid w:val="009A32A2"/>
    <w:rsid w:val="009B71E9"/>
    <w:rsid w:val="009E2B62"/>
    <w:rsid w:val="009E4184"/>
    <w:rsid w:val="009F368B"/>
    <w:rsid w:val="00A01701"/>
    <w:rsid w:val="00A407F6"/>
    <w:rsid w:val="00A61E51"/>
    <w:rsid w:val="00A73F76"/>
    <w:rsid w:val="00A95CA7"/>
    <w:rsid w:val="00B1544F"/>
    <w:rsid w:val="00B426A4"/>
    <w:rsid w:val="00B4439F"/>
    <w:rsid w:val="00B471B5"/>
    <w:rsid w:val="00B701CA"/>
    <w:rsid w:val="00B757C0"/>
    <w:rsid w:val="00B77F52"/>
    <w:rsid w:val="00BB210F"/>
    <w:rsid w:val="00C1421A"/>
    <w:rsid w:val="00C96028"/>
    <w:rsid w:val="00D15A3E"/>
    <w:rsid w:val="00D33CA3"/>
    <w:rsid w:val="00D75D8F"/>
    <w:rsid w:val="00D84FAC"/>
    <w:rsid w:val="00DB237B"/>
    <w:rsid w:val="00E85B8F"/>
    <w:rsid w:val="00E92BEC"/>
    <w:rsid w:val="00EA58A4"/>
    <w:rsid w:val="00EB1921"/>
    <w:rsid w:val="00F10B6F"/>
    <w:rsid w:val="00FA301E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1E51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8B7C-C45A-43E5-AEBD-965C5580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530967</dc:creator>
  <cp:lastModifiedBy>User</cp:lastModifiedBy>
  <cp:revision>20</cp:revision>
  <cp:lastPrinted>2019-05-07T07:11:00Z</cp:lastPrinted>
  <dcterms:created xsi:type="dcterms:W3CDTF">2019-04-22T01:36:00Z</dcterms:created>
  <dcterms:modified xsi:type="dcterms:W3CDTF">2020-01-07T11:24:00Z</dcterms:modified>
</cp:coreProperties>
</file>