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237" w:rsidRDefault="003B6237" w:rsidP="003B6237">
      <w:pPr>
        <w:spacing w:beforeLines="50" w:before="180" w:afterLines="50" w:after="180" w:line="600" w:lineRule="exact"/>
        <w:jc w:val="center"/>
        <w:rPr>
          <w:rFonts w:ascii="標楷體" w:eastAsia="標楷體" w:hAnsi="標楷體"/>
          <w:b/>
          <w:bCs/>
          <w:color w:val="000000"/>
          <w:sz w:val="40"/>
          <w:szCs w:val="40"/>
          <w:lang w:eastAsia="zh-TW"/>
        </w:rPr>
      </w:pPr>
      <w:proofErr w:type="gramStart"/>
      <w:r w:rsidRPr="003B6237">
        <w:rPr>
          <w:rFonts w:ascii="標楷體" w:eastAsia="標楷體" w:hAnsi="標楷體" w:hint="eastAsia"/>
          <w:b/>
          <w:bCs/>
          <w:color w:val="000000"/>
          <w:sz w:val="40"/>
          <w:szCs w:val="40"/>
          <w:lang w:eastAsia="zh-TW"/>
        </w:rPr>
        <w:t>臺</w:t>
      </w:r>
      <w:proofErr w:type="gramEnd"/>
      <w:r w:rsidRPr="003B6237">
        <w:rPr>
          <w:rFonts w:ascii="標楷體" w:eastAsia="標楷體" w:hAnsi="標楷體" w:hint="eastAsia"/>
          <w:b/>
          <w:bCs/>
          <w:color w:val="000000"/>
          <w:sz w:val="40"/>
          <w:szCs w:val="40"/>
          <w:lang w:eastAsia="zh-TW"/>
        </w:rPr>
        <w:t>南市永康區全民運動館新建工程</w:t>
      </w:r>
    </w:p>
    <w:p w:rsidR="003B6237" w:rsidRPr="00AC6D91" w:rsidRDefault="003B6237" w:rsidP="003B6237">
      <w:pPr>
        <w:spacing w:beforeLines="50" w:before="180" w:afterLines="50" w:after="180" w:line="600" w:lineRule="exact"/>
        <w:jc w:val="center"/>
        <w:rPr>
          <w:rFonts w:ascii="標楷體" w:eastAsia="標楷體" w:hAnsi="標楷體"/>
          <w:b/>
          <w:bCs/>
          <w:color w:val="000000"/>
          <w:sz w:val="44"/>
          <w:szCs w:val="44"/>
          <w:lang w:eastAsia="zh-TW"/>
        </w:rPr>
      </w:pPr>
      <w:r w:rsidRPr="00AC6D91">
        <w:rPr>
          <w:rFonts w:ascii="標楷體" w:eastAsia="標楷體" w:hAnsi="標楷體" w:hint="eastAsia"/>
          <w:b/>
          <w:bCs/>
          <w:color w:val="000000"/>
          <w:sz w:val="40"/>
          <w:szCs w:val="40"/>
          <w:lang w:eastAsia="zh-TW"/>
        </w:rPr>
        <w:t>選擇方案及替代方案之</w:t>
      </w:r>
      <w:bookmarkStart w:id="0" w:name="_GoBack"/>
      <w:r w:rsidRPr="00AC6D91">
        <w:rPr>
          <w:rFonts w:ascii="標楷體" w:eastAsia="標楷體" w:hAnsi="標楷體" w:hint="eastAsia"/>
          <w:b/>
          <w:bCs/>
          <w:color w:val="000000"/>
          <w:sz w:val="40"/>
          <w:szCs w:val="40"/>
          <w:lang w:eastAsia="zh-TW"/>
        </w:rPr>
        <w:t>成本效益分析報告</w:t>
      </w:r>
      <w:bookmarkEnd w:id="0"/>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jc w:val="center"/>
        <w:rPr>
          <w:rFonts w:ascii="標楷體" w:eastAsia="標楷體" w:hAnsi="標楷體" w:hint="eastAsia"/>
          <w:b/>
          <w:bCs/>
          <w:color w:val="000000"/>
          <w:sz w:val="32"/>
          <w:szCs w:val="32"/>
          <w:u w:val="single"/>
          <w:lang w:eastAsia="zh-TW"/>
        </w:rPr>
      </w:pPr>
      <w:proofErr w:type="gramStart"/>
      <w:r>
        <w:rPr>
          <w:rFonts w:ascii="標楷體" w:eastAsia="標楷體" w:hAnsi="標楷體" w:hint="eastAsia"/>
          <w:b/>
          <w:bCs/>
          <w:color w:val="000000"/>
          <w:sz w:val="32"/>
          <w:szCs w:val="32"/>
          <w:u w:val="single"/>
          <w:lang w:eastAsia="zh-TW"/>
        </w:rPr>
        <w:t>臺</w:t>
      </w:r>
      <w:proofErr w:type="gramEnd"/>
      <w:r>
        <w:rPr>
          <w:rFonts w:ascii="標楷體" w:eastAsia="標楷體" w:hAnsi="標楷體" w:hint="eastAsia"/>
          <w:b/>
          <w:bCs/>
          <w:color w:val="000000"/>
          <w:sz w:val="32"/>
          <w:szCs w:val="32"/>
          <w:u w:val="single"/>
          <w:lang w:eastAsia="zh-TW"/>
        </w:rPr>
        <w:t>南市體育處</w:t>
      </w:r>
    </w:p>
    <w:p w:rsidR="003B6237" w:rsidRPr="00AC6D91" w:rsidRDefault="003B6237" w:rsidP="003B6237">
      <w:pPr>
        <w:spacing w:after="0" w:line="600" w:lineRule="exact"/>
        <w:jc w:val="center"/>
        <w:rPr>
          <w:rFonts w:ascii="標楷體" w:eastAsia="標楷體" w:hAnsi="標楷體"/>
          <w:b/>
          <w:bCs/>
          <w:color w:val="000000"/>
          <w:sz w:val="32"/>
          <w:szCs w:val="32"/>
          <w:lang w:eastAsia="zh-TW"/>
        </w:rPr>
      </w:pPr>
    </w:p>
    <w:p w:rsidR="003B6237" w:rsidRPr="00AC6D91" w:rsidRDefault="003B6237" w:rsidP="003B6237">
      <w:pPr>
        <w:spacing w:after="0" w:line="600" w:lineRule="exact"/>
        <w:jc w:val="center"/>
        <w:rPr>
          <w:rFonts w:ascii="標楷體" w:eastAsia="標楷體" w:hAnsi="標楷體"/>
          <w:b/>
          <w:bCs/>
          <w:color w:val="000000"/>
          <w:sz w:val="32"/>
          <w:szCs w:val="32"/>
          <w:lang w:eastAsia="zh-TW"/>
        </w:rPr>
      </w:pPr>
      <w:r>
        <w:rPr>
          <w:rFonts w:ascii="標楷體" w:eastAsia="標楷體" w:hAnsi="標楷體" w:hint="eastAsia"/>
          <w:b/>
          <w:bCs/>
          <w:color w:val="000000"/>
          <w:sz w:val="32"/>
          <w:szCs w:val="32"/>
          <w:lang w:eastAsia="zh-TW"/>
        </w:rPr>
        <w:t>111</w:t>
      </w:r>
      <w:r w:rsidRPr="00AC6D91">
        <w:rPr>
          <w:rFonts w:ascii="標楷體" w:eastAsia="標楷體" w:hAnsi="標楷體" w:hint="eastAsia"/>
          <w:b/>
          <w:bCs/>
          <w:color w:val="000000"/>
          <w:sz w:val="32"/>
          <w:szCs w:val="32"/>
          <w:lang w:eastAsia="zh-TW"/>
        </w:rPr>
        <w:t>年</w:t>
      </w:r>
      <w:r>
        <w:rPr>
          <w:rFonts w:ascii="標楷體" w:eastAsia="標楷體" w:hAnsi="標楷體" w:hint="eastAsia"/>
          <w:b/>
          <w:bCs/>
          <w:color w:val="000000"/>
          <w:sz w:val="32"/>
          <w:szCs w:val="32"/>
          <w:lang w:eastAsia="zh-TW"/>
        </w:rPr>
        <w:t>3</w:t>
      </w:r>
      <w:r w:rsidRPr="00AC6D91">
        <w:rPr>
          <w:rFonts w:ascii="標楷體" w:eastAsia="標楷體" w:hAnsi="標楷體" w:hint="eastAsia"/>
          <w:b/>
          <w:bCs/>
          <w:color w:val="000000"/>
          <w:sz w:val="32"/>
          <w:szCs w:val="32"/>
          <w:lang w:eastAsia="zh-TW"/>
        </w:rPr>
        <w:t>月</w:t>
      </w:r>
    </w:p>
    <w:p w:rsidR="003B6237" w:rsidRPr="00AC6D91" w:rsidRDefault="003B6237" w:rsidP="003B6237">
      <w:pPr>
        <w:spacing w:after="0" w:line="600" w:lineRule="exact"/>
        <w:rPr>
          <w:rFonts w:ascii="標楷體" w:eastAsia="標楷體" w:hAnsi="標楷體"/>
          <w:color w:val="000000"/>
          <w:sz w:val="32"/>
          <w:szCs w:val="32"/>
          <w:lang w:eastAsia="zh-TW"/>
        </w:rPr>
      </w:pPr>
    </w:p>
    <w:p w:rsidR="003B6237" w:rsidRPr="00AC6D91" w:rsidRDefault="003B6237" w:rsidP="003B6237">
      <w:pPr>
        <w:spacing w:after="0" w:line="600" w:lineRule="exact"/>
        <w:rPr>
          <w:rFonts w:ascii="標楷體" w:eastAsia="標楷體" w:hAnsi="標楷體" w:hint="eastAsia"/>
          <w:color w:val="000000"/>
          <w:sz w:val="32"/>
          <w:szCs w:val="32"/>
          <w:lang w:eastAsia="zh-TW"/>
        </w:rPr>
      </w:pPr>
    </w:p>
    <w:p w:rsidR="003B6237" w:rsidRPr="00AC6D91" w:rsidRDefault="003B6237" w:rsidP="003B6237">
      <w:pPr>
        <w:spacing w:after="0" w:line="600" w:lineRule="exact"/>
        <w:rPr>
          <w:rFonts w:ascii="標楷體" w:eastAsia="標楷體" w:hAnsi="標楷體"/>
          <w:b/>
          <w:bCs/>
          <w:color w:val="000000"/>
          <w:sz w:val="32"/>
          <w:szCs w:val="32"/>
          <w:lang w:eastAsia="zh-TW"/>
        </w:rPr>
      </w:pPr>
      <w:r w:rsidRPr="00AC6D91">
        <w:rPr>
          <w:rFonts w:ascii="標楷體" w:eastAsia="標楷體" w:hAnsi="標楷體"/>
          <w:color w:val="000000"/>
          <w:sz w:val="32"/>
          <w:szCs w:val="32"/>
          <w:lang w:eastAsia="zh-TW"/>
        </w:rPr>
        <w:br w:type="page"/>
      </w:r>
      <w:r w:rsidRPr="00AC6D91">
        <w:rPr>
          <w:rFonts w:ascii="標楷體" w:eastAsia="標楷體" w:hAnsi="標楷體" w:hint="eastAsia"/>
          <w:b/>
          <w:bCs/>
          <w:color w:val="000000"/>
          <w:sz w:val="32"/>
          <w:szCs w:val="32"/>
          <w:lang w:eastAsia="zh-TW"/>
        </w:rPr>
        <w:lastRenderedPageBreak/>
        <w:t>一、計畫內容及預期效益：</w:t>
      </w:r>
    </w:p>
    <w:p w:rsidR="003B6237" w:rsidRPr="00AC6D91" w:rsidRDefault="003B6237" w:rsidP="003B6237">
      <w:pPr>
        <w:spacing w:beforeLines="50" w:before="180" w:afterLines="50" w:after="180" w:line="600" w:lineRule="exact"/>
        <w:ind w:left="567"/>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w:t>
      </w:r>
      <w:proofErr w:type="gramStart"/>
      <w:r>
        <w:rPr>
          <w:rFonts w:ascii="標楷體" w:eastAsia="標楷體" w:hAnsi="標楷體" w:hint="eastAsia"/>
          <w:color w:val="000000"/>
          <w:sz w:val="32"/>
          <w:szCs w:val="32"/>
          <w:lang w:eastAsia="zh-TW"/>
        </w:rPr>
        <w:t>一</w:t>
      </w:r>
      <w:proofErr w:type="gramEnd"/>
      <w:r>
        <w:rPr>
          <w:rFonts w:ascii="標楷體" w:eastAsia="標楷體" w:hAnsi="標楷體" w:hint="eastAsia"/>
          <w:color w:val="000000"/>
          <w:sz w:val="32"/>
          <w:szCs w:val="32"/>
          <w:lang w:eastAsia="zh-TW"/>
        </w:rPr>
        <w:t>)、</w:t>
      </w:r>
      <w:r w:rsidRPr="00AC6D91">
        <w:rPr>
          <w:rFonts w:ascii="標楷體" w:eastAsia="標楷體" w:hAnsi="標楷體" w:hint="eastAsia"/>
          <w:color w:val="000000"/>
          <w:sz w:val="32"/>
          <w:szCs w:val="32"/>
          <w:lang w:eastAsia="zh-TW"/>
        </w:rPr>
        <w:t>計畫內容</w:t>
      </w:r>
      <w:r>
        <w:rPr>
          <w:rFonts w:ascii="標楷體" w:eastAsia="標楷體" w:hAnsi="標楷體" w:hint="eastAsia"/>
          <w:color w:val="000000"/>
          <w:sz w:val="32"/>
          <w:szCs w:val="32"/>
          <w:lang w:eastAsia="zh-TW"/>
        </w:rPr>
        <w:t>：本案擬於永康區忠孝運動公園基地，設置永康區全民運動館，搭配基地內既有2面壘球場、6面網球場及2面籃球場等，打造永康區一處完善的運動特區;本案分為3年進行，111年進行規劃設計、112年至113年進行工程施工，114年結算工程及勞務等程序。</w:t>
      </w:r>
    </w:p>
    <w:p w:rsidR="003B6237" w:rsidRPr="00AC6D91" w:rsidRDefault="003B6237" w:rsidP="003B6237">
      <w:pPr>
        <w:spacing w:beforeLines="50" w:before="180" w:afterLines="50" w:after="180" w:line="600" w:lineRule="exact"/>
        <w:ind w:left="480"/>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(二)、</w:t>
      </w:r>
      <w:r w:rsidRPr="00AC6D91">
        <w:rPr>
          <w:rFonts w:ascii="標楷體" w:eastAsia="標楷體" w:hAnsi="標楷體" w:hint="eastAsia"/>
          <w:color w:val="000000"/>
          <w:sz w:val="32"/>
          <w:szCs w:val="32"/>
          <w:lang w:eastAsia="zh-TW"/>
        </w:rPr>
        <w:t>預期效益</w:t>
      </w:r>
      <w:r>
        <w:rPr>
          <w:rFonts w:ascii="標楷體" w:eastAsia="標楷體" w:hAnsi="標楷體" w:hint="eastAsia"/>
          <w:color w:val="000000"/>
          <w:sz w:val="32"/>
          <w:szCs w:val="32"/>
          <w:lang w:eastAsia="zh-TW"/>
        </w:rPr>
        <w:t>：打造全新樣貌的全民運動館，搭配基地上既有運動設施，活化運動設施，提供民眾多元化的運動選擇。</w:t>
      </w:r>
    </w:p>
    <w:p w:rsidR="003B6237" w:rsidRPr="00AC6D91" w:rsidRDefault="003B6237" w:rsidP="003B6237">
      <w:pPr>
        <w:spacing w:beforeLines="50" w:before="180" w:afterLines="50" w:after="180" w:line="600" w:lineRule="exact"/>
        <w:rPr>
          <w:rFonts w:ascii="標楷體" w:eastAsia="標楷體" w:hAnsi="標楷體" w:hint="eastAsia"/>
          <w:b/>
          <w:bCs/>
          <w:color w:val="000000"/>
          <w:sz w:val="32"/>
          <w:szCs w:val="32"/>
          <w:lang w:eastAsia="zh-TW"/>
        </w:rPr>
      </w:pPr>
      <w:r w:rsidRPr="00AC6D91">
        <w:rPr>
          <w:rFonts w:ascii="標楷體" w:eastAsia="標楷體" w:hAnsi="標楷體" w:hint="eastAsia"/>
          <w:b/>
          <w:bCs/>
          <w:color w:val="000000"/>
          <w:sz w:val="32"/>
          <w:szCs w:val="32"/>
          <w:lang w:eastAsia="zh-TW"/>
        </w:rPr>
        <w:t>二、計畫投入總經費</w:t>
      </w:r>
      <w:r>
        <w:rPr>
          <w:rFonts w:ascii="標楷體" w:eastAsia="標楷體" w:hAnsi="標楷體" w:hint="eastAsia"/>
          <w:b/>
          <w:bCs/>
          <w:color w:val="000000"/>
          <w:sz w:val="32"/>
          <w:szCs w:val="32"/>
          <w:lang w:eastAsia="zh-TW"/>
        </w:rPr>
        <w:t>:新臺幣1億元。</w:t>
      </w:r>
    </w:p>
    <w:p w:rsidR="003B6237" w:rsidRPr="00AC6D91" w:rsidRDefault="003B6237" w:rsidP="003B6237">
      <w:pPr>
        <w:spacing w:beforeLines="50" w:before="180" w:afterLines="50" w:after="180" w:line="600" w:lineRule="exact"/>
        <w:rPr>
          <w:rFonts w:ascii="標楷體" w:eastAsia="標楷體" w:hAnsi="標楷體"/>
          <w:b/>
          <w:bCs/>
          <w:color w:val="000000"/>
          <w:sz w:val="32"/>
          <w:szCs w:val="32"/>
          <w:lang w:eastAsia="zh-TW"/>
        </w:rPr>
      </w:pPr>
      <w:r w:rsidRPr="00AC6D91">
        <w:rPr>
          <w:rFonts w:ascii="標楷體" w:eastAsia="標楷體" w:hAnsi="標楷體" w:hint="eastAsia"/>
          <w:b/>
          <w:bCs/>
          <w:color w:val="000000"/>
          <w:sz w:val="32"/>
          <w:szCs w:val="32"/>
          <w:lang w:eastAsia="zh-TW"/>
        </w:rPr>
        <w:t>三、選擇方案及替代方案之成本效益分析</w:t>
      </w:r>
    </w:p>
    <w:p w:rsidR="003B6237" w:rsidRDefault="003B6237" w:rsidP="003B6237">
      <w:pPr>
        <w:spacing w:beforeLines="50" w:before="180" w:afterLines="50" w:after="180" w:line="600" w:lineRule="exact"/>
        <w:ind w:left="567"/>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w:t>
      </w:r>
      <w:proofErr w:type="gramStart"/>
      <w:r>
        <w:rPr>
          <w:rFonts w:ascii="標楷體" w:eastAsia="標楷體" w:hAnsi="標楷體" w:hint="eastAsia"/>
          <w:color w:val="000000"/>
          <w:sz w:val="32"/>
          <w:szCs w:val="32"/>
          <w:lang w:eastAsia="zh-TW"/>
        </w:rPr>
        <w:t>一</w:t>
      </w:r>
      <w:proofErr w:type="gramEnd"/>
      <w:r>
        <w:rPr>
          <w:rFonts w:ascii="標楷體" w:eastAsia="標楷體" w:hAnsi="標楷體" w:hint="eastAsia"/>
          <w:color w:val="000000"/>
          <w:sz w:val="32"/>
          <w:szCs w:val="32"/>
          <w:lang w:eastAsia="zh-TW"/>
        </w:rPr>
        <w:t>)選擇方案：</w:t>
      </w:r>
    </w:p>
    <w:p w:rsidR="003B6237" w:rsidRDefault="003B6237" w:rsidP="003B6237">
      <w:pPr>
        <w:spacing w:beforeLines="50" w:before="180" w:afterLines="50" w:after="180" w:line="600" w:lineRule="exact"/>
        <w:ind w:left="707"/>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1.本方案為設置室內複合式運動場館一座。</w:t>
      </w:r>
    </w:p>
    <w:p w:rsidR="003B6237" w:rsidRDefault="003B6237" w:rsidP="003B6237">
      <w:pPr>
        <w:spacing w:beforeLines="50" w:before="180" w:afterLines="50" w:after="180" w:line="600" w:lineRule="exact"/>
        <w:ind w:left="709"/>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2.有</w:t>
      </w:r>
      <w:proofErr w:type="gramStart"/>
      <w:r>
        <w:rPr>
          <w:rFonts w:ascii="標楷體" w:eastAsia="標楷體" w:hAnsi="標楷體" w:hint="eastAsia"/>
          <w:color w:val="000000"/>
          <w:sz w:val="32"/>
          <w:szCs w:val="32"/>
          <w:lang w:eastAsia="zh-TW"/>
        </w:rPr>
        <w:t>鑑</w:t>
      </w:r>
      <w:proofErr w:type="gramEnd"/>
      <w:r>
        <w:rPr>
          <w:rFonts w:ascii="標楷體" w:eastAsia="標楷體" w:hAnsi="標楷體" w:hint="eastAsia"/>
          <w:color w:val="000000"/>
          <w:sz w:val="32"/>
          <w:szCs w:val="32"/>
          <w:lang w:eastAsia="zh-TW"/>
        </w:rPr>
        <w:t>於全球氣候變遷，夏季溫度屢創新高，室外運動場地在受氣候的影響下，使用次數及頻率不及室內場館，再者室外</w:t>
      </w:r>
      <w:proofErr w:type="gramStart"/>
      <w:r>
        <w:rPr>
          <w:rFonts w:ascii="標楷體" w:eastAsia="標楷體" w:hAnsi="標楷體" w:hint="eastAsia"/>
          <w:color w:val="000000"/>
          <w:sz w:val="32"/>
          <w:szCs w:val="32"/>
          <w:lang w:eastAsia="zh-TW"/>
        </w:rPr>
        <w:t>場地常日高溫</w:t>
      </w:r>
      <w:proofErr w:type="gramEnd"/>
      <w:r>
        <w:rPr>
          <w:rFonts w:ascii="標楷體" w:eastAsia="標楷體" w:hAnsi="標楷體" w:hint="eastAsia"/>
          <w:color w:val="000000"/>
          <w:sz w:val="32"/>
          <w:szCs w:val="32"/>
          <w:lang w:eastAsia="zh-TW"/>
        </w:rPr>
        <w:t>曝曬下，亦衍生場地使用年限縮短的情形，增加維護成本。</w:t>
      </w:r>
    </w:p>
    <w:p w:rsidR="003B6237" w:rsidRDefault="003B6237" w:rsidP="003B6237">
      <w:pPr>
        <w:spacing w:beforeLines="50" w:before="180" w:afterLines="50" w:after="180" w:line="600" w:lineRule="exact"/>
        <w:ind w:left="709"/>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3.興建室內場館，可提升民眾使用意願，促進運動人口的成長，有效達成全民運動的普及化目標。</w:t>
      </w:r>
    </w:p>
    <w:p w:rsidR="003B6237" w:rsidRDefault="003B6237" w:rsidP="003B6237">
      <w:pPr>
        <w:spacing w:beforeLines="50" w:before="180" w:afterLines="50" w:after="180" w:line="600" w:lineRule="exact"/>
        <w:ind w:left="567"/>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(二)替代方案：</w:t>
      </w:r>
    </w:p>
    <w:p w:rsidR="003B6237" w:rsidRDefault="003B6237" w:rsidP="003B6237">
      <w:pPr>
        <w:spacing w:beforeLines="50" w:before="180" w:afterLines="50" w:after="180" w:line="600" w:lineRule="exact"/>
        <w:ind w:leftChars="322" w:left="708"/>
        <w:rPr>
          <w:rFonts w:ascii="標楷體" w:eastAsia="標楷體" w:hAnsi="標楷體"/>
          <w:color w:val="000000"/>
          <w:sz w:val="32"/>
          <w:szCs w:val="32"/>
          <w:lang w:eastAsia="zh-TW"/>
        </w:rPr>
      </w:pPr>
      <w:r w:rsidRPr="00746DC6">
        <w:rPr>
          <w:rFonts w:ascii="標楷體" w:eastAsia="標楷體" w:hAnsi="標楷體" w:hint="eastAsia"/>
          <w:color w:val="000000"/>
          <w:sz w:val="32"/>
          <w:szCs w:val="32"/>
          <w:lang w:eastAsia="zh-TW"/>
        </w:rPr>
        <w:t>1.</w:t>
      </w:r>
      <w:r>
        <w:rPr>
          <w:rFonts w:ascii="標楷體" w:eastAsia="標楷體" w:hAnsi="標楷體" w:hint="eastAsia"/>
          <w:color w:val="000000"/>
          <w:sz w:val="32"/>
          <w:szCs w:val="32"/>
          <w:lang w:eastAsia="zh-TW"/>
        </w:rPr>
        <w:t>興建風雨球場。</w:t>
      </w:r>
    </w:p>
    <w:p w:rsidR="003B6237" w:rsidRDefault="003B6237" w:rsidP="003B6237">
      <w:pPr>
        <w:spacing w:beforeLines="50" w:before="180" w:afterLines="50" w:after="180" w:line="600" w:lineRule="exact"/>
        <w:ind w:leftChars="129" w:left="284"/>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lastRenderedPageBreak/>
        <w:t>2.風雨球場有場地規格的限制，再者風雨球場的設計，無法提供像室內運動場館的品質，因應永康地區現況以及後續人口運動需求，設置風雨球場</w:t>
      </w:r>
      <w:proofErr w:type="gramStart"/>
      <w:r>
        <w:rPr>
          <w:rFonts w:ascii="標楷體" w:eastAsia="標楷體" w:hAnsi="標楷體" w:hint="eastAsia"/>
          <w:color w:val="000000"/>
          <w:sz w:val="32"/>
          <w:szCs w:val="32"/>
          <w:lang w:eastAsia="zh-TW"/>
        </w:rPr>
        <w:t>恐</w:t>
      </w:r>
      <w:proofErr w:type="gramEnd"/>
      <w:r>
        <w:rPr>
          <w:rFonts w:ascii="標楷體" w:eastAsia="標楷體" w:hAnsi="標楷體" w:hint="eastAsia"/>
          <w:color w:val="000000"/>
          <w:sz w:val="32"/>
          <w:szCs w:val="32"/>
          <w:lang w:eastAsia="zh-TW"/>
        </w:rPr>
        <w:t>不及民眾期待。</w:t>
      </w:r>
    </w:p>
    <w:p w:rsidR="003B6237" w:rsidRPr="00663E58" w:rsidRDefault="003B6237" w:rsidP="003B6237">
      <w:pPr>
        <w:spacing w:beforeLines="50" w:before="180" w:afterLines="50" w:after="180" w:line="600" w:lineRule="exact"/>
        <w:rPr>
          <w:rFonts w:ascii="標楷體" w:eastAsia="標楷體" w:hAnsi="標楷體" w:hint="eastAsia"/>
          <w:color w:val="000000"/>
          <w:sz w:val="32"/>
          <w:szCs w:val="32"/>
          <w:lang w:eastAsia="zh-TW"/>
        </w:rPr>
      </w:pPr>
      <w:r>
        <w:rPr>
          <w:rFonts w:ascii="標楷體" w:eastAsia="標楷體" w:hAnsi="標楷體" w:hint="eastAsia"/>
          <w:color w:val="000000"/>
          <w:sz w:val="32"/>
          <w:szCs w:val="32"/>
          <w:lang w:eastAsia="zh-TW"/>
        </w:rPr>
        <w:t xml:space="preserve">  綜上考量，配合市政規劃，以選擇方案為優先執行選項。</w:t>
      </w:r>
    </w:p>
    <w:p w:rsidR="003B6237" w:rsidRPr="00AC6D91" w:rsidRDefault="003B6237" w:rsidP="003B6237">
      <w:pPr>
        <w:spacing w:beforeLines="50" w:before="180" w:afterLines="50" w:after="180" w:line="600" w:lineRule="exact"/>
        <w:rPr>
          <w:rFonts w:ascii="標楷體" w:eastAsia="標楷體" w:hAnsi="標楷體"/>
          <w:b/>
          <w:bCs/>
          <w:color w:val="000000"/>
          <w:sz w:val="32"/>
          <w:szCs w:val="32"/>
          <w:lang w:eastAsia="zh-TW"/>
        </w:rPr>
      </w:pPr>
      <w:r w:rsidRPr="00AC6D91">
        <w:rPr>
          <w:rFonts w:ascii="標楷體" w:eastAsia="標楷體" w:hAnsi="標楷體" w:hint="eastAsia"/>
          <w:b/>
          <w:bCs/>
          <w:color w:val="000000"/>
          <w:sz w:val="32"/>
          <w:szCs w:val="32"/>
          <w:lang w:eastAsia="zh-TW"/>
        </w:rPr>
        <w:t>四、財源籌措及資金運用情形</w:t>
      </w:r>
    </w:p>
    <w:p w:rsidR="003B6237" w:rsidRPr="00AC6D91" w:rsidRDefault="003B6237" w:rsidP="003B6237">
      <w:pPr>
        <w:spacing w:beforeLines="50" w:before="180" w:afterLines="50" w:after="180" w:line="600" w:lineRule="exact"/>
        <w:rPr>
          <w:rFonts w:ascii="標楷體" w:eastAsia="標楷體" w:hAnsi="標楷體"/>
          <w:color w:val="000000"/>
          <w:sz w:val="32"/>
          <w:szCs w:val="32"/>
          <w:lang w:eastAsia="zh-TW"/>
        </w:rPr>
      </w:pPr>
      <w:r w:rsidRPr="00AC6D91">
        <w:rPr>
          <w:rFonts w:ascii="標楷體" w:eastAsia="標楷體" w:hAnsi="標楷體" w:hint="eastAsia"/>
          <w:color w:val="000000"/>
          <w:sz w:val="32"/>
          <w:szCs w:val="32"/>
          <w:lang w:eastAsia="zh-TW"/>
        </w:rPr>
        <w:t>(</w:t>
      </w:r>
      <w:proofErr w:type="gramStart"/>
      <w:r w:rsidRPr="00AC6D91">
        <w:rPr>
          <w:rFonts w:ascii="標楷體" w:eastAsia="標楷體" w:hAnsi="標楷體" w:hint="eastAsia"/>
          <w:color w:val="000000"/>
          <w:sz w:val="32"/>
          <w:szCs w:val="32"/>
          <w:lang w:eastAsia="zh-TW"/>
        </w:rPr>
        <w:t>一</w:t>
      </w:r>
      <w:proofErr w:type="gramEnd"/>
      <w:r w:rsidRPr="00AC6D91">
        <w:rPr>
          <w:rFonts w:ascii="標楷體" w:eastAsia="標楷體" w:hAnsi="標楷體" w:hint="eastAsia"/>
          <w:color w:val="000000"/>
          <w:sz w:val="32"/>
          <w:szCs w:val="32"/>
          <w:lang w:eastAsia="zh-TW"/>
        </w:rPr>
        <w:t>)財源籌措</w:t>
      </w:r>
      <w:r>
        <w:rPr>
          <w:rFonts w:ascii="標楷體" w:eastAsia="標楷體" w:hAnsi="標楷體" w:hint="eastAsia"/>
          <w:color w:val="000000"/>
          <w:sz w:val="32"/>
          <w:szCs w:val="32"/>
          <w:lang w:eastAsia="zh-TW"/>
        </w:rPr>
        <w:t>:市預算1億元。</w:t>
      </w:r>
    </w:p>
    <w:p w:rsidR="003B6237" w:rsidRPr="00AC6D91" w:rsidRDefault="003B6237" w:rsidP="003B6237">
      <w:pPr>
        <w:spacing w:beforeLines="50" w:before="180" w:afterLines="50" w:after="180" w:line="600" w:lineRule="exact"/>
        <w:rPr>
          <w:rFonts w:ascii="標楷體" w:eastAsia="標楷體" w:hAnsi="標楷體"/>
          <w:color w:val="000000"/>
          <w:sz w:val="32"/>
          <w:szCs w:val="32"/>
          <w:lang w:eastAsia="zh-TW"/>
        </w:rPr>
      </w:pPr>
      <w:r w:rsidRPr="00AC6D91">
        <w:rPr>
          <w:rFonts w:ascii="標楷體" w:eastAsia="標楷體" w:hAnsi="標楷體" w:hint="eastAsia"/>
          <w:color w:val="000000"/>
          <w:sz w:val="32"/>
          <w:szCs w:val="32"/>
          <w:lang w:eastAsia="zh-TW"/>
        </w:rPr>
        <w:t>(二)資金運用</w:t>
      </w:r>
    </w:p>
    <w:p w:rsidR="003B6237" w:rsidRDefault="003B6237" w:rsidP="003B6237">
      <w:pPr>
        <w:spacing w:beforeLines="50" w:before="180" w:afterLines="50" w:after="180" w:line="600" w:lineRule="exact"/>
        <w:ind w:left="709"/>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1.勞務規劃設計及監造服務：7,637千元。</w:t>
      </w:r>
    </w:p>
    <w:p w:rsidR="003B6237" w:rsidRPr="00AC6D91" w:rsidRDefault="003B6237" w:rsidP="003B6237">
      <w:pPr>
        <w:spacing w:beforeLines="50" w:before="180" w:afterLines="50" w:after="180" w:line="600" w:lineRule="exact"/>
        <w:ind w:left="709"/>
        <w:rPr>
          <w:rFonts w:ascii="標楷體" w:eastAsia="標楷體" w:hAnsi="標楷體"/>
          <w:color w:val="000000"/>
          <w:sz w:val="32"/>
          <w:szCs w:val="32"/>
          <w:lang w:eastAsia="zh-TW"/>
        </w:rPr>
      </w:pPr>
      <w:r>
        <w:rPr>
          <w:rFonts w:ascii="標楷體" w:eastAsia="標楷體" w:hAnsi="標楷體" w:hint="eastAsia"/>
          <w:color w:val="000000"/>
          <w:sz w:val="32"/>
          <w:szCs w:val="32"/>
          <w:lang w:eastAsia="zh-TW"/>
        </w:rPr>
        <w:t>2.工程施作：92,363千元。</w:t>
      </w:r>
    </w:p>
    <w:p w:rsidR="003B6237" w:rsidRPr="00AC6D91" w:rsidRDefault="003B6237" w:rsidP="003B6237">
      <w:pPr>
        <w:spacing w:beforeLines="50" w:before="180" w:afterLines="50" w:after="180" w:line="600" w:lineRule="exact"/>
        <w:ind w:left="320" w:hangingChars="100" w:hanging="320"/>
        <w:rPr>
          <w:rFonts w:ascii="標楷體" w:eastAsia="標楷體" w:hAnsi="標楷體"/>
          <w:color w:val="000000"/>
          <w:sz w:val="32"/>
          <w:szCs w:val="32"/>
          <w:lang w:eastAsia="zh-TW"/>
        </w:rPr>
      </w:pPr>
      <w:r w:rsidRPr="00AC6D91">
        <w:rPr>
          <w:rFonts w:ascii="標楷體" w:eastAsia="標楷體" w:hAnsi="標楷體" w:hint="eastAsia"/>
          <w:color w:val="000000"/>
          <w:sz w:val="32"/>
          <w:szCs w:val="32"/>
          <w:lang w:eastAsia="zh-TW"/>
        </w:rPr>
        <w:t>※本報告請依財政紀律法第11條之規定，公布於機關網站之政府資訊公開項下「施政計畫、業務統計及研究報告」-重要公共工程建設及重大施政計畫選擇方案及替代方案之成本效益分析報告，以落實資訊公開。</w:t>
      </w:r>
    </w:p>
    <w:p w:rsidR="003B6237" w:rsidRPr="00AC6D91" w:rsidRDefault="003B6237" w:rsidP="003B6237">
      <w:pPr>
        <w:spacing w:beforeLines="50" w:before="180" w:afterLines="50" w:after="180" w:line="600" w:lineRule="exact"/>
        <w:rPr>
          <w:rFonts w:ascii="標楷體" w:eastAsia="標楷體" w:hAnsi="標楷體"/>
          <w:color w:val="000000"/>
          <w:sz w:val="32"/>
          <w:szCs w:val="32"/>
          <w:lang w:eastAsia="zh-TW"/>
        </w:rPr>
      </w:pPr>
    </w:p>
    <w:p w:rsidR="00105A1E" w:rsidRDefault="00105A1E">
      <w:pPr>
        <w:rPr>
          <w:lang w:eastAsia="zh-TW"/>
        </w:rPr>
      </w:pPr>
    </w:p>
    <w:sectPr w:rsidR="00105A1E" w:rsidSect="00AE5393">
      <w:footerReference w:type="default" r:id="rId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353" w:rsidRDefault="003B6237" w:rsidP="00D31353">
    <w:pPr>
      <w:pStyle w:val="a3"/>
      <w:jc w:val="center"/>
      <w:rPr>
        <w:rFonts w:hint="eastAsia"/>
        <w:lang w:eastAsia="zh-TW"/>
      </w:rPr>
    </w:pPr>
    <w:r>
      <w:fldChar w:fldCharType="begin"/>
    </w:r>
    <w:r>
      <w:instrText xml:space="preserve"> PAGE   \* MERGEFORMAT </w:instrText>
    </w:r>
    <w:r>
      <w:fldChar w:fldCharType="separate"/>
    </w:r>
    <w:r w:rsidRPr="00206976">
      <w:rPr>
        <w:noProof/>
        <w:lang w:val="zh-TW"/>
      </w:rP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37"/>
    <w:rsid w:val="00105A1E"/>
    <w:rsid w:val="003B6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3669"/>
  <w15:chartTrackingRefBased/>
  <w15:docId w15:val="{CC9A7CF6-9817-4E45-B8E9-36617D7B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237"/>
    <w:pPr>
      <w:spacing w:after="200" w:line="276" w:lineRule="auto"/>
    </w:pPr>
    <w:rPr>
      <w:rFonts w:ascii="Calibri" w:eastAsia="新細明體" w:hAnsi="Calibr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6237"/>
    <w:pPr>
      <w:tabs>
        <w:tab w:val="center" w:pos="4153"/>
        <w:tab w:val="right" w:pos="8306"/>
      </w:tabs>
      <w:snapToGrid w:val="0"/>
    </w:pPr>
    <w:rPr>
      <w:sz w:val="20"/>
      <w:szCs w:val="20"/>
    </w:rPr>
  </w:style>
  <w:style w:type="character" w:customStyle="1" w:styleId="a4">
    <w:name w:val="頁尾 字元"/>
    <w:basedOn w:val="a0"/>
    <w:link w:val="a3"/>
    <w:uiPriority w:val="99"/>
    <w:rsid w:val="003B6237"/>
    <w:rPr>
      <w:rFonts w:ascii="Calibri" w:eastAsia="新細明體" w:hAnsi="Calibri" w:cs="Times New Roman"/>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Words>
  <Characters>645</Characters>
  <Application>Microsoft Office Word</Application>
  <DocSecurity>0</DocSecurity>
  <Lines>5</Lines>
  <Paragraphs>1</Paragraphs>
  <ScaleCrop>false</ScaleCrop>
  <Company>KMSOFFICE2019X64</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2023-04-27T02:27:00Z</dcterms:created>
  <dcterms:modified xsi:type="dcterms:W3CDTF">2023-04-27T02:31:00Z</dcterms:modified>
</cp:coreProperties>
</file>