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8BE" w:rsidRDefault="003B1F93" w:rsidP="0087050B">
      <w:pPr>
        <w:widowControl/>
        <w:spacing w:line="440" w:lineRule="exact"/>
        <w:jc w:val="center"/>
        <w:rPr>
          <w:rFonts w:ascii="標楷體" w:eastAsia="標楷體" w:hAnsi="標楷體"/>
          <w:b/>
          <w:sz w:val="40"/>
        </w:rPr>
      </w:pPr>
      <w:proofErr w:type="gramStart"/>
      <w:r w:rsidRPr="003B1F93">
        <w:rPr>
          <w:rFonts w:ascii="標楷體" w:eastAsia="標楷體" w:hAnsi="標楷體" w:hint="eastAsia"/>
          <w:b/>
          <w:sz w:val="40"/>
        </w:rPr>
        <w:t>臺</w:t>
      </w:r>
      <w:proofErr w:type="gramEnd"/>
      <w:r w:rsidRPr="003B1F93">
        <w:rPr>
          <w:rFonts w:ascii="標楷體" w:eastAsia="標楷體" w:hAnsi="標楷體" w:hint="eastAsia"/>
          <w:b/>
          <w:sz w:val="40"/>
        </w:rPr>
        <w:t>南市</w:t>
      </w:r>
      <w:r w:rsidR="002538DB">
        <w:rPr>
          <w:rFonts w:ascii="標楷體" w:eastAsia="標楷體" w:hAnsi="標楷體" w:hint="eastAsia"/>
          <w:b/>
          <w:sz w:val="40"/>
        </w:rPr>
        <w:t>政府</w:t>
      </w:r>
      <w:r w:rsidRPr="003B1F93">
        <w:rPr>
          <w:rFonts w:ascii="標楷體" w:eastAsia="標楷體" w:hAnsi="標楷體" w:hint="eastAsia"/>
          <w:b/>
          <w:sz w:val="40"/>
        </w:rPr>
        <w:t>體育</w:t>
      </w:r>
      <w:r w:rsidR="002538DB">
        <w:rPr>
          <w:rFonts w:ascii="標楷體" w:eastAsia="標楷體" w:hAnsi="標楷體" w:hint="eastAsia"/>
          <w:b/>
          <w:sz w:val="40"/>
        </w:rPr>
        <w:t>局</w:t>
      </w:r>
      <w:r w:rsidRPr="003B1F93">
        <w:rPr>
          <w:rFonts w:ascii="標楷體" w:eastAsia="標楷體" w:hAnsi="標楷體" w:hint="eastAsia"/>
          <w:b/>
          <w:sz w:val="40"/>
        </w:rPr>
        <w:t>性騷擾防治</w:t>
      </w:r>
      <w:r w:rsidR="002538DB">
        <w:rPr>
          <w:rFonts w:ascii="標楷體" w:eastAsia="標楷體" w:hAnsi="標楷體" w:hint="eastAsia"/>
          <w:b/>
          <w:sz w:val="40"/>
        </w:rPr>
        <w:t>及</w:t>
      </w:r>
      <w:r w:rsidRPr="003B1F93">
        <w:rPr>
          <w:rFonts w:ascii="標楷體" w:eastAsia="標楷體" w:hAnsi="標楷體" w:hint="eastAsia"/>
          <w:b/>
          <w:sz w:val="40"/>
        </w:rPr>
        <w:t>申訴處理</w:t>
      </w:r>
      <w:r w:rsidR="002538DB">
        <w:rPr>
          <w:rFonts w:ascii="標楷體" w:eastAsia="標楷體" w:hAnsi="標楷體" w:hint="eastAsia"/>
          <w:b/>
          <w:sz w:val="40"/>
        </w:rPr>
        <w:t>要點</w:t>
      </w:r>
      <w:r w:rsidR="001467B1" w:rsidRPr="009E56CF">
        <w:rPr>
          <w:rFonts w:ascii="標楷體" w:eastAsia="標楷體" w:hAnsi="標楷體" w:hint="eastAsia"/>
          <w:b/>
          <w:sz w:val="40"/>
        </w:rPr>
        <w:t>總說明</w:t>
      </w:r>
      <w:bookmarkStart w:id="0" w:name="_GoBack"/>
      <w:bookmarkEnd w:id="0"/>
    </w:p>
    <w:p w:rsidR="0087050B" w:rsidRPr="0087050B" w:rsidRDefault="0087050B" w:rsidP="0087050B">
      <w:pPr>
        <w:widowControl/>
        <w:spacing w:line="440" w:lineRule="exact"/>
        <w:jc w:val="both"/>
        <w:rPr>
          <w:rFonts w:ascii="標楷體" w:eastAsia="標楷體" w:hAnsi="標楷體" w:hint="eastAsia"/>
          <w:b/>
          <w:sz w:val="40"/>
        </w:rPr>
      </w:pPr>
    </w:p>
    <w:p w:rsidR="001602BF" w:rsidRDefault="00A0772A" w:rsidP="0087050B">
      <w:pPr>
        <w:widowControl/>
        <w:spacing w:line="460" w:lineRule="exact"/>
        <w:ind w:firstLine="480"/>
        <w:jc w:val="both"/>
        <w:rPr>
          <w:rFonts w:ascii="標楷體" w:eastAsia="標楷體" w:hAnsi="標楷體" w:cs="Arial"/>
          <w:sz w:val="28"/>
          <w:szCs w:val="24"/>
        </w:rPr>
      </w:pPr>
      <w:proofErr w:type="gramStart"/>
      <w:r w:rsidRPr="00A0772A">
        <w:rPr>
          <w:rFonts w:ascii="標楷體" w:eastAsia="標楷體" w:hAnsi="標楷體" w:hint="eastAsia"/>
          <w:sz w:val="28"/>
          <w:szCs w:val="24"/>
        </w:rPr>
        <w:t>臺</w:t>
      </w:r>
      <w:proofErr w:type="gramEnd"/>
      <w:r w:rsidRPr="00A0772A">
        <w:rPr>
          <w:rFonts w:ascii="標楷體" w:eastAsia="標楷體" w:hAnsi="標楷體" w:hint="eastAsia"/>
          <w:sz w:val="28"/>
          <w:szCs w:val="24"/>
        </w:rPr>
        <w:t>南市政府體育局（以下簡稱本局）為提供受</w:t>
      </w:r>
      <w:proofErr w:type="gramStart"/>
      <w:r w:rsidRPr="00A0772A">
        <w:rPr>
          <w:rFonts w:ascii="標楷體" w:eastAsia="標楷體" w:hAnsi="標楷體" w:hint="eastAsia"/>
          <w:sz w:val="28"/>
          <w:szCs w:val="24"/>
        </w:rPr>
        <w:t>僱</w:t>
      </w:r>
      <w:proofErr w:type="gramEnd"/>
      <w:r w:rsidRPr="00A0772A">
        <w:rPr>
          <w:rFonts w:ascii="標楷體" w:eastAsia="標楷體" w:hAnsi="標楷體" w:hint="eastAsia"/>
          <w:sz w:val="28"/>
          <w:szCs w:val="24"/>
        </w:rPr>
        <w:t>者、派遣勞工及求職者免於性</w:t>
      </w:r>
      <w:r>
        <w:rPr>
          <w:rFonts w:ascii="標楷體" w:eastAsia="標楷體" w:hAnsi="標楷體" w:hint="eastAsia"/>
          <w:sz w:val="28"/>
          <w:szCs w:val="24"/>
        </w:rPr>
        <w:t>騷擾之工作及服務環境，並採取適當之預防、糾正、懲處等相關措施，以維護當事人權益及隱私，特</w:t>
      </w:r>
      <w:r w:rsidRPr="00A0772A">
        <w:rPr>
          <w:rFonts w:ascii="標楷體" w:eastAsia="標楷體" w:hAnsi="標楷體" w:hint="eastAsia"/>
          <w:sz w:val="28"/>
          <w:szCs w:val="24"/>
        </w:rPr>
        <w:t>依據「性別工作平等法」、「工作場所性騷擾防治措施申訴及懲戒辦法訂定準則」、「性騷擾防治法」及「性騷擾防治準則」，訂定</w:t>
      </w:r>
      <w:proofErr w:type="gramStart"/>
      <w:r w:rsidRPr="00A0772A">
        <w:rPr>
          <w:rFonts w:ascii="標楷體" w:eastAsia="標楷體" w:hAnsi="標楷體" w:hint="eastAsia"/>
          <w:sz w:val="28"/>
          <w:szCs w:val="24"/>
        </w:rPr>
        <w:t>臺</w:t>
      </w:r>
      <w:proofErr w:type="gramEnd"/>
      <w:r w:rsidRPr="00A0772A">
        <w:rPr>
          <w:rFonts w:ascii="標楷體" w:eastAsia="標楷體" w:hAnsi="標楷體" w:hint="eastAsia"/>
          <w:sz w:val="28"/>
          <w:szCs w:val="24"/>
        </w:rPr>
        <w:t>南市政府體育局性騷擾防治及申訴處理要點</w:t>
      </w:r>
      <w:r w:rsidR="00D842DE" w:rsidRPr="00D80B87">
        <w:rPr>
          <w:rFonts w:ascii="標楷體" w:eastAsia="標楷體" w:hAnsi="標楷體" w:hint="eastAsia"/>
          <w:sz w:val="28"/>
          <w:szCs w:val="24"/>
        </w:rPr>
        <w:t>。</w:t>
      </w:r>
      <w:r w:rsidR="00216AD7">
        <w:rPr>
          <w:rFonts w:ascii="標楷體" w:eastAsia="標楷體" w:hAnsi="標楷體" w:cs="Arial" w:hint="eastAsia"/>
          <w:sz w:val="28"/>
          <w:szCs w:val="24"/>
        </w:rPr>
        <w:t>重</w:t>
      </w:r>
      <w:r w:rsidR="001602BF" w:rsidRPr="00D80B87">
        <w:rPr>
          <w:rFonts w:ascii="標楷體" w:eastAsia="標楷體" w:hAnsi="標楷體" w:cs="Arial" w:hint="eastAsia"/>
          <w:sz w:val="28"/>
          <w:szCs w:val="24"/>
        </w:rPr>
        <w:t>點如下：</w:t>
      </w:r>
    </w:p>
    <w:p w:rsidR="00D80B87" w:rsidRDefault="00216AD7" w:rsidP="0087050B">
      <w:pPr>
        <w:pStyle w:val="a9"/>
        <w:widowControl/>
        <w:numPr>
          <w:ilvl w:val="0"/>
          <w:numId w:val="10"/>
        </w:numPr>
        <w:tabs>
          <w:tab w:val="left" w:pos="567"/>
        </w:tabs>
        <w:spacing w:line="460" w:lineRule="exact"/>
        <w:ind w:leftChars="0"/>
        <w:jc w:val="both"/>
        <w:rPr>
          <w:rFonts w:ascii="標楷體" w:eastAsia="標楷體" w:hAnsi="標楷體" w:cs="Arial"/>
          <w:sz w:val="28"/>
          <w:szCs w:val="24"/>
        </w:rPr>
      </w:pPr>
      <w:r w:rsidRPr="00216AD7">
        <w:rPr>
          <w:rFonts w:ascii="標楷體" w:eastAsia="標楷體" w:hAnsi="標楷體" w:cs="Arial" w:hint="eastAsia"/>
          <w:sz w:val="28"/>
          <w:szCs w:val="24"/>
        </w:rPr>
        <w:t>明確規範本要點訂定目的。</w:t>
      </w:r>
      <w:r>
        <w:rPr>
          <w:rFonts w:ascii="標楷體" w:eastAsia="標楷體" w:hAnsi="標楷體" w:cs="Arial" w:hint="eastAsia"/>
          <w:sz w:val="28"/>
          <w:szCs w:val="24"/>
        </w:rPr>
        <w:t>（第一點</w:t>
      </w:r>
      <w:r w:rsidR="00CA7B43">
        <w:rPr>
          <w:rFonts w:ascii="標楷體" w:eastAsia="標楷體" w:hAnsi="標楷體" w:cs="Arial" w:hint="eastAsia"/>
          <w:sz w:val="28"/>
          <w:szCs w:val="24"/>
        </w:rPr>
        <w:t>）</w:t>
      </w:r>
    </w:p>
    <w:p w:rsidR="00CA7B43" w:rsidRDefault="00216AD7" w:rsidP="0087050B">
      <w:pPr>
        <w:pStyle w:val="a9"/>
        <w:widowControl/>
        <w:numPr>
          <w:ilvl w:val="0"/>
          <w:numId w:val="10"/>
        </w:numPr>
        <w:tabs>
          <w:tab w:val="left" w:pos="567"/>
        </w:tabs>
        <w:spacing w:line="460" w:lineRule="exact"/>
        <w:ind w:leftChars="0"/>
        <w:jc w:val="both"/>
        <w:rPr>
          <w:rFonts w:ascii="標楷體" w:eastAsia="標楷體" w:hAnsi="標楷體" w:cs="Arial"/>
          <w:sz w:val="28"/>
          <w:szCs w:val="24"/>
        </w:rPr>
      </w:pPr>
      <w:r w:rsidRPr="00216AD7">
        <w:rPr>
          <w:rFonts w:ascii="標楷體" w:eastAsia="標楷體" w:hAnsi="標楷體" w:cs="Arial" w:hint="eastAsia"/>
          <w:sz w:val="28"/>
          <w:szCs w:val="24"/>
        </w:rPr>
        <w:t>明確規範本局處理性騷擾申訴事件之依據。</w:t>
      </w:r>
      <w:r>
        <w:rPr>
          <w:rFonts w:ascii="標楷體" w:eastAsia="標楷體" w:hAnsi="標楷體" w:cs="Arial"/>
          <w:sz w:val="28"/>
          <w:szCs w:val="24"/>
        </w:rPr>
        <w:t>（</w:t>
      </w:r>
      <w:r w:rsidR="00BC77B6">
        <w:rPr>
          <w:rFonts w:ascii="標楷體" w:eastAsia="標楷體" w:hAnsi="標楷體" w:cs="Arial" w:hint="eastAsia"/>
          <w:sz w:val="28"/>
          <w:szCs w:val="24"/>
        </w:rPr>
        <w:t>第</w:t>
      </w:r>
      <w:r>
        <w:rPr>
          <w:rFonts w:ascii="標楷體" w:eastAsia="標楷體" w:hAnsi="標楷體" w:cs="Arial" w:hint="eastAsia"/>
          <w:sz w:val="28"/>
          <w:szCs w:val="24"/>
        </w:rPr>
        <w:t>二</w:t>
      </w:r>
      <w:r w:rsidR="00BC77B6">
        <w:rPr>
          <w:rFonts w:ascii="標楷體" w:eastAsia="標楷體" w:hAnsi="標楷體" w:cs="Arial" w:hint="eastAsia"/>
          <w:sz w:val="28"/>
          <w:szCs w:val="24"/>
        </w:rPr>
        <w:t>點</w:t>
      </w:r>
      <w:r w:rsidR="00BC77B6">
        <w:rPr>
          <w:rFonts w:ascii="標楷體" w:eastAsia="標楷體" w:hAnsi="標楷體" w:cs="Arial"/>
          <w:sz w:val="28"/>
          <w:szCs w:val="24"/>
        </w:rPr>
        <w:t>）</w:t>
      </w:r>
    </w:p>
    <w:p w:rsidR="005D3331" w:rsidRDefault="00433C50" w:rsidP="0087050B">
      <w:pPr>
        <w:pStyle w:val="a9"/>
        <w:widowControl/>
        <w:numPr>
          <w:ilvl w:val="0"/>
          <w:numId w:val="10"/>
        </w:numPr>
        <w:tabs>
          <w:tab w:val="left" w:pos="567"/>
        </w:tabs>
        <w:spacing w:line="460" w:lineRule="exact"/>
        <w:ind w:leftChars="0"/>
        <w:jc w:val="both"/>
        <w:rPr>
          <w:rFonts w:ascii="標楷體" w:eastAsia="標楷體" w:hAnsi="標楷體" w:cs="Arial"/>
          <w:sz w:val="28"/>
          <w:szCs w:val="24"/>
        </w:rPr>
      </w:pPr>
      <w:r>
        <w:rPr>
          <w:rFonts w:ascii="標楷體" w:eastAsia="標楷體" w:hAnsi="標楷體" w:cs="Arial" w:hint="eastAsia"/>
          <w:sz w:val="28"/>
          <w:szCs w:val="24"/>
        </w:rPr>
        <w:t>明</w:t>
      </w:r>
      <w:r>
        <w:rPr>
          <w:rFonts w:ascii="標楷體" w:eastAsia="標楷體" w:hAnsi="標楷體" w:cs="Arial"/>
          <w:sz w:val="28"/>
          <w:szCs w:val="24"/>
        </w:rPr>
        <w:t>確定</w:t>
      </w:r>
      <w:r>
        <w:rPr>
          <w:rFonts w:ascii="標楷體" w:eastAsia="標楷體" w:hAnsi="標楷體" w:cs="Arial" w:hint="eastAsia"/>
          <w:sz w:val="28"/>
          <w:szCs w:val="24"/>
        </w:rPr>
        <w:t>義</w:t>
      </w:r>
      <w:r>
        <w:rPr>
          <w:rFonts w:ascii="標楷體" w:eastAsia="標楷體" w:hAnsi="標楷體" w:cs="Arial"/>
          <w:sz w:val="28"/>
          <w:szCs w:val="24"/>
        </w:rPr>
        <w:t>本要點所規範之</w:t>
      </w:r>
      <w:r w:rsidR="00346E00">
        <w:rPr>
          <w:rFonts w:ascii="標楷體" w:eastAsia="標楷體" w:hAnsi="標楷體" w:cs="Arial"/>
          <w:sz w:val="28"/>
          <w:szCs w:val="24"/>
        </w:rPr>
        <w:t>適用對象及</w:t>
      </w:r>
      <w:r>
        <w:rPr>
          <w:rFonts w:ascii="標楷體" w:eastAsia="標楷體" w:hAnsi="標楷體" w:cs="Arial"/>
          <w:sz w:val="28"/>
          <w:szCs w:val="24"/>
        </w:rPr>
        <w:t>性</w:t>
      </w:r>
      <w:r>
        <w:rPr>
          <w:rFonts w:ascii="標楷體" w:eastAsia="標楷體" w:hAnsi="標楷體" w:cs="Arial" w:hint="eastAsia"/>
          <w:sz w:val="28"/>
          <w:szCs w:val="24"/>
        </w:rPr>
        <w:t>騷</w:t>
      </w:r>
      <w:r>
        <w:rPr>
          <w:rFonts w:ascii="標楷體" w:eastAsia="標楷體" w:hAnsi="標楷體" w:cs="Arial"/>
          <w:sz w:val="28"/>
          <w:szCs w:val="24"/>
        </w:rPr>
        <w:t>擾案件。（第</w:t>
      </w:r>
      <w:r w:rsidR="00D45600">
        <w:rPr>
          <w:rFonts w:ascii="標楷體" w:eastAsia="標楷體" w:hAnsi="標楷體" w:cs="Arial" w:hint="eastAsia"/>
          <w:sz w:val="28"/>
          <w:szCs w:val="24"/>
        </w:rPr>
        <w:t>三</w:t>
      </w:r>
      <w:r>
        <w:rPr>
          <w:rFonts w:ascii="標楷體" w:eastAsia="標楷體" w:hAnsi="標楷體" w:cs="Arial" w:hint="eastAsia"/>
          <w:sz w:val="28"/>
          <w:szCs w:val="24"/>
        </w:rPr>
        <w:t>點</w:t>
      </w:r>
      <w:r>
        <w:rPr>
          <w:rFonts w:ascii="標楷體" w:eastAsia="標楷體" w:hAnsi="標楷體" w:cs="Arial"/>
          <w:sz w:val="28"/>
          <w:szCs w:val="24"/>
        </w:rPr>
        <w:t>）</w:t>
      </w:r>
    </w:p>
    <w:p w:rsidR="00433C50" w:rsidRDefault="00D45600" w:rsidP="0087050B">
      <w:pPr>
        <w:pStyle w:val="a9"/>
        <w:widowControl/>
        <w:numPr>
          <w:ilvl w:val="0"/>
          <w:numId w:val="10"/>
        </w:numPr>
        <w:tabs>
          <w:tab w:val="left" w:pos="567"/>
        </w:tabs>
        <w:spacing w:line="460" w:lineRule="exact"/>
        <w:ind w:leftChars="0"/>
        <w:jc w:val="both"/>
        <w:rPr>
          <w:rFonts w:ascii="標楷體" w:eastAsia="標楷體" w:hAnsi="標楷體" w:cs="Arial"/>
          <w:sz w:val="28"/>
          <w:szCs w:val="24"/>
        </w:rPr>
      </w:pPr>
      <w:r w:rsidRPr="00D45600">
        <w:rPr>
          <w:rFonts w:ascii="標楷體" w:eastAsia="標楷體" w:hAnsi="標楷體" w:cs="Arial" w:hint="eastAsia"/>
          <w:sz w:val="28"/>
          <w:szCs w:val="24"/>
        </w:rPr>
        <w:t>明訂本局性騷擾事件申訴管道資料。</w:t>
      </w:r>
      <w:r w:rsidR="004A6E71">
        <w:rPr>
          <w:rFonts w:ascii="標楷體" w:eastAsia="標楷體" w:hAnsi="標楷體" w:cs="Arial" w:hint="eastAsia"/>
          <w:sz w:val="28"/>
          <w:szCs w:val="24"/>
        </w:rPr>
        <w:t>（</w:t>
      </w:r>
      <w:r w:rsidR="004A6E71">
        <w:rPr>
          <w:rFonts w:ascii="標楷體" w:eastAsia="標楷體" w:hAnsi="標楷體" w:cs="Arial"/>
          <w:sz w:val="28"/>
          <w:szCs w:val="24"/>
        </w:rPr>
        <w:t>第</w:t>
      </w:r>
      <w:r>
        <w:rPr>
          <w:rFonts w:ascii="標楷體" w:eastAsia="標楷體" w:hAnsi="標楷體" w:cs="Arial" w:hint="eastAsia"/>
          <w:sz w:val="28"/>
          <w:szCs w:val="24"/>
        </w:rPr>
        <w:t>四</w:t>
      </w:r>
      <w:r w:rsidR="004A6E71">
        <w:rPr>
          <w:rFonts w:ascii="標楷體" w:eastAsia="標楷體" w:hAnsi="標楷體" w:cs="Arial" w:hint="eastAsia"/>
          <w:sz w:val="28"/>
          <w:szCs w:val="24"/>
        </w:rPr>
        <w:t>點</w:t>
      </w:r>
      <w:r w:rsidR="004A6E71">
        <w:rPr>
          <w:rFonts w:ascii="標楷體" w:eastAsia="標楷體" w:hAnsi="標楷體" w:cs="Arial"/>
          <w:sz w:val="28"/>
          <w:szCs w:val="24"/>
        </w:rPr>
        <w:t>）</w:t>
      </w:r>
    </w:p>
    <w:p w:rsidR="004A6E71" w:rsidRDefault="007621EF" w:rsidP="0087050B">
      <w:pPr>
        <w:pStyle w:val="a9"/>
        <w:widowControl/>
        <w:numPr>
          <w:ilvl w:val="0"/>
          <w:numId w:val="10"/>
        </w:numPr>
        <w:tabs>
          <w:tab w:val="left" w:pos="567"/>
        </w:tabs>
        <w:spacing w:line="460" w:lineRule="exact"/>
        <w:ind w:leftChars="0"/>
        <w:jc w:val="both"/>
        <w:rPr>
          <w:rFonts w:ascii="標楷體" w:eastAsia="標楷體" w:hAnsi="標楷體" w:cs="Arial"/>
          <w:sz w:val="28"/>
          <w:szCs w:val="24"/>
        </w:rPr>
      </w:pPr>
      <w:r w:rsidRPr="0087050B">
        <w:rPr>
          <w:rFonts w:ascii="標楷體" w:eastAsia="標楷體" w:hAnsi="標楷體" w:cs="Arial" w:hint="eastAsia"/>
          <w:sz w:val="28"/>
          <w:szCs w:val="24"/>
        </w:rPr>
        <w:t>明確規範本局申訴管道之宣傳措施及防治相關課程之</w:t>
      </w:r>
      <w:r w:rsidR="00BD41DD" w:rsidRPr="0087050B">
        <w:rPr>
          <w:rFonts w:ascii="標楷體" w:eastAsia="標楷體" w:hAnsi="標楷體" w:cs="Arial" w:hint="eastAsia"/>
          <w:sz w:val="28"/>
          <w:szCs w:val="24"/>
        </w:rPr>
        <w:t>推</w:t>
      </w:r>
      <w:r w:rsidRPr="0087050B">
        <w:rPr>
          <w:rFonts w:ascii="標楷體" w:eastAsia="標楷體" w:hAnsi="標楷體" w:cs="Arial" w:hint="eastAsia"/>
          <w:sz w:val="28"/>
          <w:szCs w:val="24"/>
        </w:rPr>
        <w:t>動。</w:t>
      </w:r>
      <w:r w:rsidR="00172442" w:rsidRPr="0087050B">
        <w:rPr>
          <w:rFonts w:ascii="標楷體" w:eastAsia="標楷體" w:hAnsi="標楷體" w:cs="Arial" w:hint="eastAsia"/>
          <w:sz w:val="28"/>
          <w:szCs w:val="24"/>
        </w:rPr>
        <w:t>（</w:t>
      </w:r>
      <w:r w:rsidR="00F874F5" w:rsidRPr="0087050B">
        <w:rPr>
          <w:rFonts w:ascii="標楷體" w:eastAsia="標楷體" w:hAnsi="標楷體" w:cs="Arial"/>
          <w:sz w:val="28"/>
          <w:szCs w:val="24"/>
        </w:rPr>
        <w:t>第五</w:t>
      </w:r>
      <w:r w:rsidR="00172442" w:rsidRPr="0087050B">
        <w:rPr>
          <w:rFonts w:ascii="標楷體" w:eastAsia="標楷體" w:hAnsi="標楷體" w:cs="Arial"/>
          <w:sz w:val="28"/>
          <w:szCs w:val="24"/>
        </w:rPr>
        <w:t>點）</w:t>
      </w:r>
    </w:p>
    <w:p w:rsidR="005E7EF5" w:rsidRDefault="009B120D" w:rsidP="0087050B">
      <w:pPr>
        <w:pStyle w:val="a9"/>
        <w:widowControl/>
        <w:numPr>
          <w:ilvl w:val="0"/>
          <w:numId w:val="10"/>
        </w:numPr>
        <w:tabs>
          <w:tab w:val="left" w:pos="567"/>
        </w:tabs>
        <w:spacing w:line="460" w:lineRule="exact"/>
        <w:ind w:leftChars="0"/>
        <w:jc w:val="both"/>
        <w:rPr>
          <w:rFonts w:ascii="標楷體" w:eastAsia="標楷體" w:hAnsi="標楷體" w:cs="Arial"/>
          <w:sz w:val="28"/>
          <w:szCs w:val="24"/>
        </w:rPr>
      </w:pPr>
      <w:r w:rsidRPr="0087050B">
        <w:rPr>
          <w:rFonts w:ascii="標楷體" w:eastAsia="標楷體" w:hAnsi="標楷體" w:cs="Arial" w:hint="eastAsia"/>
          <w:sz w:val="28"/>
          <w:szCs w:val="24"/>
        </w:rPr>
        <w:t>明確規範性騷擾發生時之即時處理及補救措施。</w:t>
      </w:r>
      <w:r w:rsidR="006B5289" w:rsidRPr="0087050B">
        <w:rPr>
          <w:rFonts w:ascii="標楷體" w:eastAsia="標楷體" w:hAnsi="標楷體" w:cs="Arial" w:hint="eastAsia"/>
          <w:sz w:val="28"/>
          <w:szCs w:val="24"/>
        </w:rPr>
        <w:t>（</w:t>
      </w:r>
      <w:r w:rsidR="00F874F5" w:rsidRPr="0087050B">
        <w:rPr>
          <w:rFonts w:ascii="標楷體" w:eastAsia="標楷體" w:hAnsi="標楷體" w:cs="Arial" w:hint="eastAsia"/>
          <w:sz w:val="28"/>
          <w:szCs w:val="24"/>
        </w:rPr>
        <w:t>第六</w:t>
      </w:r>
      <w:r w:rsidR="006B5289" w:rsidRPr="0087050B">
        <w:rPr>
          <w:rFonts w:ascii="標楷體" w:eastAsia="標楷體" w:hAnsi="標楷體" w:cs="Arial" w:hint="eastAsia"/>
          <w:sz w:val="28"/>
          <w:szCs w:val="24"/>
        </w:rPr>
        <w:t>點）</w:t>
      </w:r>
    </w:p>
    <w:p w:rsidR="00C77D60" w:rsidRDefault="007621EF" w:rsidP="0087050B">
      <w:pPr>
        <w:pStyle w:val="a9"/>
        <w:widowControl/>
        <w:numPr>
          <w:ilvl w:val="0"/>
          <w:numId w:val="10"/>
        </w:numPr>
        <w:tabs>
          <w:tab w:val="left" w:pos="567"/>
        </w:tabs>
        <w:spacing w:line="460" w:lineRule="exact"/>
        <w:ind w:leftChars="0"/>
        <w:jc w:val="both"/>
        <w:rPr>
          <w:rFonts w:ascii="標楷體" w:eastAsia="標楷體" w:hAnsi="標楷體" w:cs="Arial"/>
          <w:sz w:val="28"/>
          <w:szCs w:val="24"/>
        </w:rPr>
      </w:pPr>
      <w:r w:rsidRPr="0087050B">
        <w:rPr>
          <w:rFonts w:ascii="標楷體" w:eastAsia="標楷體" w:hAnsi="標楷體" w:cs="Arial" w:hint="eastAsia"/>
          <w:sz w:val="28"/>
          <w:szCs w:val="24"/>
        </w:rPr>
        <w:t>明訂性騷擾申訴案之提出原則以書面為之，並應載明之內容，以及性騷擾行為人如為機關首長時其申訴之提出方式。</w:t>
      </w:r>
      <w:r w:rsidR="00DE63A9" w:rsidRPr="0087050B">
        <w:rPr>
          <w:rFonts w:ascii="標楷體" w:eastAsia="標楷體" w:hAnsi="標楷體" w:cs="Arial" w:hint="eastAsia"/>
          <w:sz w:val="28"/>
          <w:szCs w:val="24"/>
        </w:rPr>
        <w:t>（</w:t>
      </w:r>
      <w:r w:rsidR="00DE63A9" w:rsidRPr="0087050B">
        <w:rPr>
          <w:rFonts w:ascii="標楷體" w:eastAsia="標楷體" w:hAnsi="標楷體" w:cs="Arial"/>
          <w:sz w:val="28"/>
          <w:szCs w:val="24"/>
        </w:rPr>
        <w:t>第</w:t>
      </w:r>
      <w:r w:rsidR="00F874F5" w:rsidRPr="0087050B">
        <w:rPr>
          <w:rFonts w:ascii="標楷體" w:eastAsia="標楷體" w:hAnsi="標楷體" w:cs="Arial" w:hint="eastAsia"/>
          <w:sz w:val="28"/>
          <w:szCs w:val="24"/>
        </w:rPr>
        <w:t>七</w:t>
      </w:r>
      <w:r w:rsidR="00DE63A9" w:rsidRPr="0087050B">
        <w:rPr>
          <w:rFonts w:ascii="標楷體" w:eastAsia="標楷體" w:hAnsi="標楷體" w:cs="Arial"/>
          <w:sz w:val="28"/>
          <w:szCs w:val="24"/>
        </w:rPr>
        <w:t>點）</w:t>
      </w:r>
    </w:p>
    <w:p w:rsidR="00740B3F" w:rsidRPr="0087050B" w:rsidRDefault="00F74DEE" w:rsidP="0087050B">
      <w:pPr>
        <w:pStyle w:val="a9"/>
        <w:widowControl/>
        <w:numPr>
          <w:ilvl w:val="0"/>
          <w:numId w:val="10"/>
        </w:numPr>
        <w:tabs>
          <w:tab w:val="left" w:pos="567"/>
        </w:tabs>
        <w:spacing w:line="460" w:lineRule="exact"/>
        <w:ind w:leftChars="0"/>
        <w:jc w:val="both"/>
        <w:rPr>
          <w:rFonts w:ascii="標楷體" w:eastAsia="標楷體" w:hAnsi="標楷體" w:cs="Arial"/>
          <w:sz w:val="28"/>
          <w:szCs w:val="24"/>
        </w:rPr>
      </w:pPr>
      <w:r w:rsidRPr="0087050B">
        <w:rPr>
          <w:rFonts w:ascii="標楷體" w:eastAsia="標楷體" w:hAnsi="標楷體" w:cs="Arial" w:hint="eastAsia"/>
          <w:sz w:val="28"/>
          <w:szCs w:val="24"/>
        </w:rPr>
        <w:t>明確規範申訴處理委員會之組設目的、組成方式。</w:t>
      </w:r>
      <w:r w:rsidR="00740B3F" w:rsidRPr="0087050B">
        <w:rPr>
          <w:rFonts w:ascii="標楷體" w:eastAsia="標楷體" w:hAnsi="標楷體" w:cs="Arial" w:hint="eastAsia"/>
          <w:sz w:val="28"/>
          <w:szCs w:val="24"/>
        </w:rPr>
        <w:t>（</w:t>
      </w:r>
      <w:r w:rsidR="00740B3F" w:rsidRPr="0087050B">
        <w:rPr>
          <w:rFonts w:ascii="標楷體" w:eastAsia="標楷體" w:hAnsi="標楷體" w:cs="Arial"/>
          <w:sz w:val="28"/>
          <w:szCs w:val="24"/>
        </w:rPr>
        <w:t>第</w:t>
      </w:r>
      <w:r w:rsidR="00940E3C" w:rsidRPr="0087050B">
        <w:rPr>
          <w:rFonts w:ascii="標楷體" w:eastAsia="標楷體" w:hAnsi="標楷體" w:cs="Arial"/>
          <w:sz w:val="28"/>
          <w:szCs w:val="24"/>
        </w:rPr>
        <w:t>八</w:t>
      </w:r>
      <w:r w:rsidR="00740B3F" w:rsidRPr="0087050B">
        <w:rPr>
          <w:rFonts w:ascii="標楷體" w:eastAsia="標楷體" w:hAnsi="標楷體" w:cs="Arial" w:hint="eastAsia"/>
          <w:sz w:val="28"/>
          <w:szCs w:val="24"/>
        </w:rPr>
        <w:t>點</w:t>
      </w:r>
      <w:r w:rsidR="00740B3F" w:rsidRPr="0087050B">
        <w:rPr>
          <w:rFonts w:ascii="標楷體" w:eastAsia="標楷體" w:hAnsi="標楷體" w:cs="Arial"/>
          <w:sz w:val="28"/>
          <w:szCs w:val="24"/>
        </w:rPr>
        <w:t>）</w:t>
      </w:r>
    </w:p>
    <w:p w:rsidR="00C77D60" w:rsidRPr="00C77D60" w:rsidRDefault="001C0E78" w:rsidP="0087050B">
      <w:pPr>
        <w:pStyle w:val="a9"/>
        <w:widowControl/>
        <w:numPr>
          <w:ilvl w:val="0"/>
          <w:numId w:val="10"/>
        </w:numPr>
        <w:tabs>
          <w:tab w:val="left" w:pos="567"/>
        </w:tabs>
        <w:spacing w:line="460" w:lineRule="exact"/>
        <w:ind w:leftChars="0"/>
        <w:jc w:val="both"/>
        <w:rPr>
          <w:rFonts w:ascii="標楷體" w:eastAsia="標楷體" w:hAnsi="標楷體" w:cs="Arial"/>
          <w:sz w:val="28"/>
          <w:szCs w:val="24"/>
        </w:rPr>
      </w:pPr>
      <w:r w:rsidRPr="001C0E78">
        <w:rPr>
          <w:rFonts w:ascii="標楷體" w:eastAsia="標楷體" w:hAnsi="標楷體" w:cs="Arial" w:hint="eastAsia"/>
          <w:sz w:val="28"/>
          <w:szCs w:val="24"/>
        </w:rPr>
        <w:t>明確規範性騷擾之申訴不予受理之情形。</w:t>
      </w:r>
      <w:r w:rsidR="009B6504">
        <w:rPr>
          <w:rFonts w:ascii="標楷體" w:eastAsia="標楷體" w:hAnsi="標楷體" w:cs="Arial"/>
          <w:sz w:val="28"/>
          <w:szCs w:val="24"/>
        </w:rPr>
        <w:t>（第</w:t>
      </w:r>
      <w:r w:rsidR="00F74DEE">
        <w:rPr>
          <w:rFonts w:ascii="標楷體" w:eastAsia="標楷體" w:hAnsi="標楷體" w:cs="Arial" w:hint="eastAsia"/>
          <w:sz w:val="28"/>
          <w:szCs w:val="24"/>
        </w:rPr>
        <w:t>九</w:t>
      </w:r>
      <w:r w:rsidR="009B6504">
        <w:rPr>
          <w:rFonts w:ascii="標楷體" w:eastAsia="標楷體" w:hAnsi="標楷體" w:cs="Arial"/>
          <w:sz w:val="28"/>
          <w:szCs w:val="24"/>
        </w:rPr>
        <w:t>點）</w:t>
      </w:r>
    </w:p>
    <w:p w:rsidR="00C77D60" w:rsidRDefault="008E6EFE" w:rsidP="0087050B">
      <w:pPr>
        <w:pStyle w:val="a9"/>
        <w:widowControl/>
        <w:numPr>
          <w:ilvl w:val="0"/>
          <w:numId w:val="10"/>
        </w:numPr>
        <w:tabs>
          <w:tab w:val="left" w:pos="567"/>
        </w:tabs>
        <w:spacing w:line="460" w:lineRule="exact"/>
        <w:ind w:leftChars="0"/>
        <w:jc w:val="both"/>
        <w:rPr>
          <w:rFonts w:ascii="標楷體" w:eastAsia="標楷體" w:hAnsi="標楷體" w:cs="Arial"/>
          <w:sz w:val="28"/>
          <w:szCs w:val="24"/>
        </w:rPr>
      </w:pPr>
      <w:r w:rsidRPr="008E6EFE">
        <w:rPr>
          <w:rFonts w:ascii="標楷體" w:eastAsia="標楷體" w:hAnsi="標楷體" w:cs="Arial" w:hint="eastAsia"/>
          <w:sz w:val="28"/>
          <w:szCs w:val="24"/>
        </w:rPr>
        <w:t>明確規範申訴人得撤回申訴案之時間點，及撤回後即不得再提出申訴之規定。</w:t>
      </w:r>
      <w:r w:rsidR="00703D4A">
        <w:rPr>
          <w:rFonts w:ascii="標楷體" w:eastAsia="標楷體" w:hAnsi="標楷體" w:cs="Arial" w:hint="eastAsia"/>
          <w:sz w:val="28"/>
          <w:szCs w:val="24"/>
        </w:rPr>
        <w:t>（</w:t>
      </w:r>
      <w:r w:rsidR="00703D4A">
        <w:rPr>
          <w:rFonts w:ascii="標楷體" w:eastAsia="標楷體" w:hAnsi="標楷體" w:cs="Arial"/>
          <w:sz w:val="28"/>
          <w:szCs w:val="24"/>
        </w:rPr>
        <w:t>第十點）</w:t>
      </w:r>
    </w:p>
    <w:p w:rsidR="001D203B" w:rsidRDefault="00962C1E" w:rsidP="0087050B">
      <w:pPr>
        <w:pStyle w:val="a9"/>
        <w:widowControl/>
        <w:numPr>
          <w:ilvl w:val="0"/>
          <w:numId w:val="10"/>
        </w:numPr>
        <w:tabs>
          <w:tab w:val="left" w:pos="567"/>
        </w:tabs>
        <w:spacing w:line="460" w:lineRule="exact"/>
        <w:ind w:leftChars="0"/>
        <w:jc w:val="both"/>
        <w:rPr>
          <w:rFonts w:ascii="標楷體" w:eastAsia="標楷體" w:hAnsi="標楷體" w:cs="Arial"/>
          <w:sz w:val="28"/>
          <w:szCs w:val="24"/>
        </w:rPr>
      </w:pPr>
      <w:r w:rsidRPr="0087050B">
        <w:rPr>
          <w:rFonts w:ascii="標楷體" w:eastAsia="標楷體" w:hAnsi="標楷體" w:cs="Arial" w:hint="eastAsia"/>
          <w:sz w:val="28"/>
          <w:szCs w:val="24"/>
        </w:rPr>
        <w:t>明確規範申訴（復）案件應自行迴避、依申請迴避及命其迴避之規定。</w:t>
      </w:r>
      <w:r w:rsidR="00C60A80" w:rsidRPr="0087050B">
        <w:rPr>
          <w:rFonts w:ascii="標楷體" w:eastAsia="標楷體" w:hAnsi="標楷體" w:cs="Arial" w:hint="eastAsia"/>
          <w:sz w:val="28"/>
          <w:szCs w:val="24"/>
        </w:rPr>
        <w:t>（</w:t>
      </w:r>
      <w:r w:rsidR="004A445D" w:rsidRPr="0087050B">
        <w:rPr>
          <w:rFonts w:ascii="標楷體" w:eastAsia="標楷體" w:hAnsi="標楷體" w:cs="Arial" w:hint="eastAsia"/>
          <w:sz w:val="28"/>
          <w:szCs w:val="24"/>
        </w:rPr>
        <w:t>第十一點）</w:t>
      </w:r>
    </w:p>
    <w:p w:rsidR="00703D4A" w:rsidRPr="0087050B" w:rsidRDefault="00297B44" w:rsidP="0087050B">
      <w:pPr>
        <w:pStyle w:val="a9"/>
        <w:widowControl/>
        <w:numPr>
          <w:ilvl w:val="0"/>
          <w:numId w:val="10"/>
        </w:numPr>
        <w:tabs>
          <w:tab w:val="left" w:pos="567"/>
        </w:tabs>
        <w:spacing w:line="460" w:lineRule="exact"/>
        <w:ind w:leftChars="0"/>
        <w:jc w:val="both"/>
        <w:rPr>
          <w:rFonts w:ascii="標楷體" w:eastAsia="標楷體" w:hAnsi="標楷體" w:cs="Arial"/>
          <w:sz w:val="28"/>
          <w:szCs w:val="24"/>
        </w:rPr>
      </w:pPr>
      <w:r w:rsidRPr="0087050B">
        <w:rPr>
          <w:rFonts w:ascii="標楷體" w:eastAsia="標楷體" w:hAnsi="標楷體" w:cs="Arial" w:hint="eastAsia"/>
          <w:sz w:val="28"/>
          <w:szCs w:val="24"/>
        </w:rPr>
        <w:t>明確規範參與</w:t>
      </w:r>
      <w:r w:rsidR="00962C1E" w:rsidRPr="0087050B">
        <w:rPr>
          <w:rFonts w:ascii="標楷體" w:eastAsia="標楷體" w:hAnsi="標楷體" w:cs="Arial" w:hint="eastAsia"/>
          <w:sz w:val="28"/>
          <w:szCs w:val="24"/>
        </w:rPr>
        <w:t>性</w:t>
      </w:r>
      <w:r w:rsidRPr="0087050B">
        <w:rPr>
          <w:rFonts w:ascii="標楷體" w:eastAsia="標楷體" w:hAnsi="標楷體" w:cs="Arial" w:hint="eastAsia"/>
          <w:sz w:val="28"/>
          <w:szCs w:val="24"/>
        </w:rPr>
        <w:t>騷擾申訴事件處理相關人員之保密原則。</w:t>
      </w:r>
      <w:r w:rsidR="00385BBB" w:rsidRPr="0087050B">
        <w:rPr>
          <w:rFonts w:ascii="標楷體" w:eastAsia="標楷體" w:hAnsi="標楷體" w:cs="Arial"/>
          <w:sz w:val="28"/>
          <w:szCs w:val="24"/>
        </w:rPr>
        <w:t>（</w:t>
      </w:r>
      <w:r w:rsidR="00703D4A" w:rsidRPr="0087050B">
        <w:rPr>
          <w:rFonts w:ascii="標楷體" w:eastAsia="標楷體" w:hAnsi="標楷體" w:cs="Arial" w:hint="eastAsia"/>
          <w:sz w:val="28"/>
          <w:szCs w:val="24"/>
        </w:rPr>
        <w:t>第</w:t>
      </w:r>
      <w:r w:rsidR="00703D4A" w:rsidRPr="0087050B">
        <w:rPr>
          <w:rFonts w:ascii="標楷體" w:eastAsia="標楷體" w:hAnsi="標楷體" w:cs="Arial"/>
          <w:sz w:val="28"/>
          <w:szCs w:val="24"/>
        </w:rPr>
        <w:t>十</w:t>
      </w:r>
      <w:r w:rsidR="004A445D" w:rsidRPr="0087050B">
        <w:rPr>
          <w:rFonts w:ascii="標楷體" w:eastAsia="標楷體" w:hAnsi="標楷體" w:cs="Arial" w:hint="eastAsia"/>
          <w:sz w:val="28"/>
          <w:szCs w:val="24"/>
        </w:rPr>
        <w:t>二</w:t>
      </w:r>
      <w:r w:rsidR="00703D4A" w:rsidRPr="0087050B">
        <w:rPr>
          <w:rFonts w:ascii="標楷體" w:eastAsia="標楷體" w:hAnsi="標楷體" w:cs="Arial"/>
          <w:sz w:val="28"/>
          <w:szCs w:val="24"/>
        </w:rPr>
        <w:t>點）</w:t>
      </w:r>
    </w:p>
    <w:p w:rsidR="00365E4E" w:rsidRDefault="00A27F77" w:rsidP="0087050B">
      <w:pPr>
        <w:pStyle w:val="a9"/>
        <w:widowControl/>
        <w:numPr>
          <w:ilvl w:val="0"/>
          <w:numId w:val="10"/>
        </w:numPr>
        <w:tabs>
          <w:tab w:val="left" w:pos="567"/>
          <w:tab w:val="left" w:pos="851"/>
        </w:tabs>
        <w:spacing w:line="460" w:lineRule="exact"/>
        <w:ind w:leftChars="0"/>
        <w:jc w:val="both"/>
        <w:rPr>
          <w:rFonts w:ascii="標楷體" w:eastAsia="標楷體" w:hAnsi="標楷體" w:cs="Arial"/>
          <w:sz w:val="28"/>
          <w:szCs w:val="24"/>
        </w:rPr>
      </w:pPr>
      <w:r w:rsidRPr="00A27F77">
        <w:rPr>
          <w:rFonts w:ascii="標楷體" w:eastAsia="標楷體" w:hAnsi="標楷體" w:cs="Arial" w:hint="eastAsia"/>
          <w:sz w:val="28"/>
          <w:szCs w:val="24"/>
        </w:rPr>
        <w:t>明確規範申訴處理委員會開會及決議方式。</w:t>
      </w:r>
      <w:r w:rsidR="00385BBB">
        <w:rPr>
          <w:rFonts w:ascii="標楷體" w:eastAsia="標楷體" w:hAnsi="標楷體" w:cs="Arial"/>
          <w:sz w:val="28"/>
          <w:szCs w:val="24"/>
        </w:rPr>
        <w:t>（</w:t>
      </w:r>
      <w:r w:rsidR="00365E4E">
        <w:rPr>
          <w:rFonts w:ascii="標楷體" w:eastAsia="標楷體" w:hAnsi="標楷體" w:cs="Arial"/>
          <w:sz w:val="28"/>
          <w:szCs w:val="24"/>
        </w:rPr>
        <w:t>第十</w:t>
      </w:r>
      <w:r w:rsidR="00385BBB">
        <w:rPr>
          <w:rFonts w:ascii="標楷體" w:eastAsia="標楷體" w:hAnsi="標楷體" w:cs="Arial" w:hint="eastAsia"/>
          <w:sz w:val="28"/>
          <w:szCs w:val="24"/>
        </w:rPr>
        <w:t>三</w:t>
      </w:r>
      <w:r w:rsidR="00365E4E">
        <w:rPr>
          <w:rFonts w:ascii="標楷體" w:eastAsia="標楷體" w:hAnsi="標楷體" w:cs="Arial"/>
          <w:sz w:val="28"/>
          <w:szCs w:val="24"/>
        </w:rPr>
        <w:t>點）</w:t>
      </w:r>
    </w:p>
    <w:p w:rsidR="00615DCF" w:rsidRDefault="00615DCF" w:rsidP="0087050B">
      <w:pPr>
        <w:pStyle w:val="a9"/>
        <w:widowControl/>
        <w:numPr>
          <w:ilvl w:val="0"/>
          <w:numId w:val="10"/>
        </w:numPr>
        <w:tabs>
          <w:tab w:val="left" w:pos="567"/>
          <w:tab w:val="left" w:pos="851"/>
        </w:tabs>
        <w:spacing w:line="460" w:lineRule="exact"/>
        <w:ind w:leftChars="0"/>
        <w:jc w:val="both"/>
        <w:rPr>
          <w:rFonts w:ascii="標楷體" w:eastAsia="標楷體" w:hAnsi="標楷體" w:cs="Arial"/>
          <w:sz w:val="28"/>
          <w:szCs w:val="24"/>
        </w:rPr>
      </w:pPr>
      <w:r w:rsidRPr="00615DCF">
        <w:rPr>
          <w:rFonts w:ascii="標楷體" w:eastAsia="標楷體" w:hAnsi="標楷體" w:cs="Arial" w:hint="eastAsia"/>
          <w:sz w:val="28"/>
          <w:szCs w:val="24"/>
        </w:rPr>
        <w:t>明確規範申訴處理委員會審議程序，以及決議應以書面通知相關人員及主管機關</w:t>
      </w:r>
      <w:r>
        <w:rPr>
          <w:rFonts w:ascii="標楷體" w:eastAsia="標楷體" w:hAnsi="標楷體" w:cs="Arial" w:hint="eastAsia"/>
          <w:sz w:val="28"/>
          <w:szCs w:val="24"/>
        </w:rPr>
        <w:t>。</w:t>
      </w:r>
      <w:r>
        <w:rPr>
          <w:rFonts w:ascii="標楷體" w:eastAsia="標楷體" w:hAnsi="標楷體" w:cs="Arial"/>
          <w:sz w:val="28"/>
          <w:szCs w:val="24"/>
        </w:rPr>
        <w:t>（第</w:t>
      </w:r>
      <w:r>
        <w:rPr>
          <w:rFonts w:ascii="標楷體" w:eastAsia="標楷體" w:hAnsi="標楷體" w:cs="Arial" w:hint="eastAsia"/>
          <w:sz w:val="28"/>
          <w:szCs w:val="24"/>
        </w:rPr>
        <w:t>十四</w:t>
      </w:r>
      <w:r>
        <w:rPr>
          <w:rFonts w:ascii="標楷體" w:eastAsia="標楷體" w:hAnsi="標楷體" w:cs="Arial"/>
          <w:sz w:val="28"/>
          <w:szCs w:val="24"/>
        </w:rPr>
        <w:t>點）</w:t>
      </w:r>
    </w:p>
    <w:p w:rsidR="00615DCF" w:rsidRDefault="00615DCF" w:rsidP="0087050B">
      <w:pPr>
        <w:jc w:val="both"/>
      </w:pPr>
    </w:p>
    <w:p w:rsidR="00615DCF" w:rsidRPr="00615DCF" w:rsidRDefault="00615DCF" w:rsidP="0087050B">
      <w:pPr>
        <w:tabs>
          <w:tab w:val="left" w:pos="3621"/>
        </w:tabs>
        <w:jc w:val="both"/>
      </w:pPr>
      <w:r>
        <w:tab/>
      </w:r>
    </w:p>
    <w:p w:rsidR="001467B1" w:rsidRDefault="00311638" w:rsidP="0087050B">
      <w:pPr>
        <w:pStyle w:val="a9"/>
        <w:widowControl/>
        <w:numPr>
          <w:ilvl w:val="0"/>
          <w:numId w:val="10"/>
        </w:numPr>
        <w:tabs>
          <w:tab w:val="left" w:pos="567"/>
          <w:tab w:val="left" w:pos="851"/>
        </w:tabs>
        <w:spacing w:line="460" w:lineRule="exact"/>
        <w:ind w:leftChars="0"/>
        <w:jc w:val="both"/>
        <w:rPr>
          <w:rFonts w:ascii="標楷體" w:eastAsia="標楷體" w:hAnsi="標楷體" w:cs="Arial"/>
          <w:sz w:val="28"/>
          <w:szCs w:val="24"/>
        </w:rPr>
      </w:pPr>
      <w:r w:rsidRPr="00311638">
        <w:rPr>
          <w:rFonts w:ascii="標楷體" w:eastAsia="標楷體" w:hAnsi="標楷體" w:cs="Arial" w:hint="eastAsia"/>
          <w:sz w:val="28"/>
          <w:szCs w:val="24"/>
        </w:rPr>
        <w:lastRenderedPageBreak/>
        <w:t>明確規範申訴事件二個月結案之起算時間；屬性別工作平等法及性騷擾防治法之性騷擾案件之救濟管道；同一事件結案後不得再提出申訴之規定。</w:t>
      </w:r>
      <w:r w:rsidR="00385BBB">
        <w:rPr>
          <w:rFonts w:ascii="標楷體" w:eastAsia="標楷體" w:hAnsi="標楷體" w:cs="Arial"/>
          <w:sz w:val="28"/>
          <w:szCs w:val="24"/>
        </w:rPr>
        <w:t>（</w:t>
      </w:r>
      <w:r w:rsidR="00365E4E">
        <w:rPr>
          <w:rFonts w:ascii="標楷體" w:eastAsia="標楷體" w:hAnsi="標楷體" w:cs="Arial"/>
          <w:sz w:val="28"/>
          <w:szCs w:val="24"/>
        </w:rPr>
        <w:t>第</w:t>
      </w:r>
      <w:r w:rsidR="00385BBB">
        <w:rPr>
          <w:rFonts w:ascii="標楷體" w:eastAsia="標楷體" w:hAnsi="標楷體" w:cs="Arial" w:hint="eastAsia"/>
          <w:sz w:val="28"/>
          <w:szCs w:val="24"/>
        </w:rPr>
        <w:t>十</w:t>
      </w:r>
      <w:r w:rsidR="00EA7C53">
        <w:rPr>
          <w:rFonts w:ascii="標楷體" w:eastAsia="標楷體" w:hAnsi="標楷體" w:cs="Arial" w:hint="eastAsia"/>
          <w:sz w:val="28"/>
          <w:szCs w:val="24"/>
        </w:rPr>
        <w:t>五</w:t>
      </w:r>
      <w:r w:rsidR="00365E4E">
        <w:rPr>
          <w:rFonts w:ascii="標楷體" w:eastAsia="標楷體" w:hAnsi="標楷體" w:cs="Arial"/>
          <w:sz w:val="28"/>
          <w:szCs w:val="24"/>
        </w:rPr>
        <w:t>點）</w:t>
      </w:r>
    </w:p>
    <w:p w:rsidR="00377899" w:rsidRDefault="00B22D11" w:rsidP="0087050B">
      <w:pPr>
        <w:pStyle w:val="a9"/>
        <w:widowControl/>
        <w:numPr>
          <w:ilvl w:val="0"/>
          <w:numId w:val="10"/>
        </w:numPr>
        <w:tabs>
          <w:tab w:val="left" w:pos="567"/>
          <w:tab w:val="left" w:pos="851"/>
        </w:tabs>
        <w:spacing w:line="460" w:lineRule="exact"/>
        <w:ind w:leftChars="0"/>
        <w:jc w:val="both"/>
        <w:rPr>
          <w:rFonts w:ascii="標楷體" w:eastAsia="標楷體" w:hAnsi="標楷體" w:cs="Arial"/>
          <w:sz w:val="28"/>
          <w:szCs w:val="24"/>
        </w:rPr>
      </w:pPr>
      <w:r w:rsidRPr="00B22D11">
        <w:rPr>
          <w:rFonts w:ascii="標楷體" w:eastAsia="標楷體" w:hAnsi="標楷體" w:cs="Arial" w:hint="eastAsia"/>
          <w:sz w:val="28"/>
          <w:szCs w:val="24"/>
        </w:rPr>
        <w:t>明確規範已進入司法程序之申訴事件，經申訴人同意得決議暫緩調查及決議。</w:t>
      </w:r>
      <w:r>
        <w:rPr>
          <w:rFonts w:ascii="標楷體" w:eastAsia="標楷體" w:hAnsi="標楷體" w:cs="Arial"/>
          <w:sz w:val="28"/>
          <w:szCs w:val="24"/>
        </w:rPr>
        <w:t>（第</w:t>
      </w:r>
      <w:r w:rsidR="00EA7C53">
        <w:rPr>
          <w:rFonts w:ascii="標楷體" w:eastAsia="標楷體" w:hAnsi="標楷體" w:cs="Arial" w:hint="eastAsia"/>
          <w:sz w:val="28"/>
          <w:szCs w:val="24"/>
        </w:rPr>
        <w:t>十六</w:t>
      </w:r>
      <w:r>
        <w:rPr>
          <w:rFonts w:ascii="標楷體" w:eastAsia="標楷體" w:hAnsi="標楷體" w:cs="Arial"/>
          <w:sz w:val="28"/>
          <w:szCs w:val="24"/>
        </w:rPr>
        <w:t>點）</w:t>
      </w:r>
    </w:p>
    <w:p w:rsidR="00B22D11" w:rsidRDefault="00B22D11" w:rsidP="0087050B">
      <w:pPr>
        <w:pStyle w:val="a9"/>
        <w:widowControl/>
        <w:numPr>
          <w:ilvl w:val="0"/>
          <w:numId w:val="10"/>
        </w:numPr>
        <w:tabs>
          <w:tab w:val="left" w:pos="567"/>
          <w:tab w:val="left" w:pos="851"/>
        </w:tabs>
        <w:spacing w:line="460" w:lineRule="exact"/>
        <w:ind w:leftChars="0"/>
        <w:jc w:val="both"/>
        <w:rPr>
          <w:rFonts w:ascii="標楷體" w:eastAsia="標楷體" w:hAnsi="標楷體" w:cs="Arial"/>
          <w:sz w:val="28"/>
          <w:szCs w:val="24"/>
        </w:rPr>
      </w:pPr>
      <w:r w:rsidRPr="00B22D11">
        <w:rPr>
          <w:rFonts w:ascii="標楷體" w:eastAsia="標楷體" w:hAnsi="標楷體" w:cs="Arial" w:hint="eastAsia"/>
          <w:sz w:val="28"/>
          <w:szCs w:val="24"/>
        </w:rPr>
        <w:t>明確規範調查屬實本局得依相關規定為適當懲處及協助申訴人提出刑事告訴。</w:t>
      </w:r>
      <w:r w:rsidR="00EA7C53">
        <w:rPr>
          <w:rFonts w:ascii="標楷體" w:eastAsia="標楷體" w:hAnsi="標楷體" w:cs="Arial" w:hint="eastAsia"/>
          <w:sz w:val="28"/>
          <w:szCs w:val="24"/>
        </w:rPr>
        <w:t>（第十七</w:t>
      </w:r>
      <w:r w:rsidRPr="00B22D11">
        <w:rPr>
          <w:rFonts w:ascii="標楷體" w:eastAsia="標楷體" w:hAnsi="標楷體" w:cs="Arial" w:hint="eastAsia"/>
          <w:sz w:val="28"/>
          <w:szCs w:val="24"/>
        </w:rPr>
        <w:t>點）</w:t>
      </w:r>
    </w:p>
    <w:p w:rsidR="00A74687" w:rsidRDefault="00A74687" w:rsidP="0087050B">
      <w:pPr>
        <w:pStyle w:val="a9"/>
        <w:widowControl/>
        <w:numPr>
          <w:ilvl w:val="0"/>
          <w:numId w:val="10"/>
        </w:numPr>
        <w:tabs>
          <w:tab w:val="left" w:pos="567"/>
          <w:tab w:val="left" w:pos="851"/>
        </w:tabs>
        <w:spacing w:line="460" w:lineRule="exact"/>
        <w:ind w:leftChars="0"/>
        <w:jc w:val="both"/>
        <w:rPr>
          <w:rFonts w:ascii="標楷體" w:eastAsia="標楷體" w:hAnsi="標楷體" w:cs="Arial"/>
          <w:sz w:val="28"/>
          <w:szCs w:val="24"/>
        </w:rPr>
      </w:pPr>
      <w:r w:rsidRPr="00A74687">
        <w:rPr>
          <w:rFonts w:ascii="標楷體" w:eastAsia="標楷體" w:hAnsi="標楷體" w:cs="Arial" w:hint="eastAsia"/>
          <w:sz w:val="28"/>
          <w:szCs w:val="24"/>
        </w:rPr>
        <w:t>明確規範確保懲處措施有效執行，及協助當事人之心理輔導機制。</w:t>
      </w:r>
      <w:r w:rsidR="00EA7C53">
        <w:rPr>
          <w:rFonts w:ascii="標楷體" w:eastAsia="標楷體" w:hAnsi="標楷體" w:cs="Arial" w:hint="eastAsia"/>
          <w:sz w:val="28"/>
          <w:szCs w:val="24"/>
        </w:rPr>
        <w:t>（第十八</w:t>
      </w:r>
      <w:r w:rsidRPr="00B22D11">
        <w:rPr>
          <w:rFonts w:ascii="標楷體" w:eastAsia="標楷體" w:hAnsi="標楷體" w:cs="Arial" w:hint="eastAsia"/>
          <w:sz w:val="28"/>
          <w:szCs w:val="24"/>
        </w:rPr>
        <w:t>點）</w:t>
      </w:r>
    </w:p>
    <w:p w:rsidR="000921E5" w:rsidRDefault="000921E5" w:rsidP="0087050B">
      <w:pPr>
        <w:pStyle w:val="a9"/>
        <w:widowControl/>
        <w:numPr>
          <w:ilvl w:val="0"/>
          <w:numId w:val="10"/>
        </w:numPr>
        <w:tabs>
          <w:tab w:val="left" w:pos="567"/>
          <w:tab w:val="left" w:pos="851"/>
        </w:tabs>
        <w:spacing w:line="460" w:lineRule="exact"/>
        <w:ind w:leftChars="0"/>
        <w:jc w:val="both"/>
        <w:rPr>
          <w:rFonts w:ascii="標楷體" w:eastAsia="標楷體" w:hAnsi="標楷體" w:cs="Arial"/>
          <w:sz w:val="28"/>
          <w:szCs w:val="24"/>
        </w:rPr>
      </w:pPr>
      <w:r w:rsidRPr="000921E5">
        <w:rPr>
          <w:rFonts w:ascii="標楷體" w:eastAsia="標楷體" w:hAnsi="標楷體" w:cs="Arial" w:hint="eastAsia"/>
          <w:sz w:val="28"/>
          <w:szCs w:val="24"/>
        </w:rPr>
        <w:t>明定非本局之兼職委員得依實際情形支領出席費及撰稿費之規定。</w:t>
      </w:r>
      <w:r w:rsidR="00EA7C53">
        <w:rPr>
          <w:rFonts w:ascii="標楷體" w:eastAsia="標楷體" w:hAnsi="標楷體" w:cs="Arial" w:hint="eastAsia"/>
          <w:sz w:val="28"/>
          <w:szCs w:val="24"/>
        </w:rPr>
        <w:t>（第十九</w:t>
      </w:r>
      <w:r w:rsidRPr="00B22D11">
        <w:rPr>
          <w:rFonts w:ascii="標楷體" w:eastAsia="標楷體" w:hAnsi="標楷體" w:cs="Arial" w:hint="eastAsia"/>
          <w:sz w:val="28"/>
          <w:szCs w:val="24"/>
        </w:rPr>
        <w:t>點）</w:t>
      </w:r>
    </w:p>
    <w:p w:rsidR="000921E5" w:rsidRPr="00762007" w:rsidRDefault="000921E5" w:rsidP="0087050B">
      <w:pPr>
        <w:pStyle w:val="a9"/>
        <w:widowControl/>
        <w:numPr>
          <w:ilvl w:val="0"/>
          <w:numId w:val="10"/>
        </w:numPr>
        <w:tabs>
          <w:tab w:val="left" w:pos="567"/>
          <w:tab w:val="left" w:pos="851"/>
        </w:tabs>
        <w:spacing w:line="460" w:lineRule="exact"/>
        <w:ind w:leftChars="0"/>
        <w:jc w:val="both"/>
        <w:rPr>
          <w:rFonts w:ascii="標楷體" w:eastAsia="標楷體" w:hAnsi="標楷體" w:cs="Arial"/>
          <w:sz w:val="28"/>
          <w:szCs w:val="24"/>
        </w:rPr>
      </w:pPr>
      <w:r w:rsidRPr="000921E5">
        <w:rPr>
          <w:rFonts w:ascii="標楷體" w:eastAsia="標楷體" w:hAnsi="標楷體" w:cs="Arial" w:hint="eastAsia"/>
          <w:sz w:val="28"/>
          <w:szCs w:val="24"/>
        </w:rPr>
        <w:t>明訂要點實施程序及如有未盡事宜依性別工作平等法、性騷擾防治法及其他相關規定處理。</w:t>
      </w:r>
      <w:r>
        <w:rPr>
          <w:rFonts w:ascii="標楷體" w:eastAsia="標楷體" w:hAnsi="標楷體" w:cs="Arial" w:hint="eastAsia"/>
          <w:sz w:val="28"/>
          <w:szCs w:val="24"/>
        </w:rPr>
        <w:t>（第</w:t>
      </w:r>
      <w:r w:rsidR="00EA7C53">
        <w:rPr>
          <w:rFonts w:ascii="標楷體" w:eastAsia="標楷體" w:hAnsi="標楷體" w:cs="Arial" w:hint="eastAsia"/>
          <w:sz w:val="28"/>
          <w:szCs w:val="24"/>
        </w:rPr>
        <w:t>二十</w:t>
      </w:r>
      <w:r w:rsidRPr="00B22D11">
        <w:rPr>
          <w:rFonts w:ascii="標楷體" w:eastAsia="標楷體" w:hAnsi="標楷體" w:cs="Arial" w:hint="eastAsia"/>
          <w:sz w:val="28"/>
          <w:szCs w:val="24"/>
        </w:rPr>
        <w:t>點）</w:t>
      </w:r>
    </w:p>
    <w:sectPr w:rsidR="000921E5" w:rsidRPr="00762007" w:rsidSect="00EF497D">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94E" w:rsidRDefault="0053494E" w:rsidP="00450702">
      <w:r>
        <w:separator/>
      </w:r>
    </w:p>
  </w:endnote>
  <w:endnote w:type="continuationSeparator" w:id="0">
    <w:p w:rsidR="0053494E" w:rsidRDefault="0053494E" w:rsidP="0045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94E" w:rsidRDefault="0053494E" w:rsidP="00450702">
      <w:r>
        <w:separator/>
      </w:r>
    </w:p>
  </w:footnote>
  <w:footnote w:type="continuationSeparator" w:id="0">
    <w:p w:rsidR="0053494E" w:rsidRDefault="0053494E" w:rsidP="00450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BA1"/>
    <w:multiLevelType w:val="hybridMultilevel"/>
    <w:tmpl w:val="4350C082"/>
    <w:lvl w:ilvl="0" w:tplc="E9120BE4">
      <w:start w:val="1"/>
      <w:numFmt w:val="taiwaneseCountingThousand"/>
      <w:lvlText w:val="%1、"/>
      <w:lvlJc w:val="left"/>
      <w:pPr>
        <w:ind w:left="480" w:hanging="480"/>
      </w:pPr>
      <w:rPr>
        <w:rFonts w:ascii="標楷體" w:eastAsia="標楷體" w:hAnsi="標楷體"/>
        <w:sz w:val="24"/>
      </w:rPr>
    </w:lvl>
    <w:lvl w:ilvl="1" w:tplc="040CA2B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A0ACE"/>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64C40"/>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0051E4"/>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F54FE0"/>
    <w:multiLevelType w:val="hybridMultilevel"/>
    <w:tmpl w:val="D68A172A"/>
    <w:lvl w:ilvl="0" w:tplc="04090015">
      <w:start w:val="1"/>
      <w:numFmt w:val="taiwaneseCountingThousand"/>
      <w:lvlText w:val="%1、"/>
      <w:lvlJc w:val="left"/>
      <w:pPr>
        <w:ind w:left="480" w:hanging="480"/>
      </w:pPr>
    </w:lvl>
    <w:lvl w:ilvl="1" w:tplc="040CA2B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1D7098"/>
    <w:multiLevelType w:val="hybridMultilevel"/>
    <w:tmpl w:val="AF000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A11467"/>
    <w:multiLevelType w:val="hybridMultilevel"/>
    <w:tmpl w:val="AE8600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AC7551"/>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366DA4"/>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2A649A"/>
    <w:multiLevelType w:val="hybridMultilevel"/>
    <w:tmpl w:val="60365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B77772"/>
    <w:multiLevelType w:val="hybridMultilevel"/>
    <w:tmpl w:val="2D9E7B82"/>
    <w:lvl w:ilvl="0" w:tplc="040CA2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C864885"/>
    <w:multiLevelType w:val="hybridMultilevel"/>
    <w:tmpl w:val="21029BD6"/>
    <w:lvl w:ilvl="0" w:tplc="040CA2B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2FC8410D"/>
    <w:multiLevelType w:val="hybridMultilevel"/>
    <w:tmpl w:val="4350C082"/>
    <w:lvl w:ilvl="0" w:tplc="E9120BE4">
      <w:start w:val="1"/>
      <w:numFmt w:val="taiwaneseCountingThousand"/>
      <w:lvlText w:val="%1、"/>
      <w:lvlJc w:val="left"/>
      <w:pPr>
        <w:ind w:left="480" w:hanging="480"/>
      </w:pPr>
      <w:rPr>
        <w:rFonts w:ascii="標楷體" w:eastAsia="標楷體" w:hAnsi="標楷體"/>
        <w:sz w:val="24"/>
      </w:rPr>
    </w:lvl>
    <w:lvl w:ilvl="1" w:tplc="040CA2B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DE1A8F"/>
    <w:multiLevelType w:val="hybridMultilevel"/>
    <w:tmpl w:val="EA5A4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EFA417AA">
      <w:start w:val="1"/>
      <w:numFmt w:val="taiwaneseCountingThousand"/>
      <w:lvlText w:val="%3、"/>
      <w:lvlJc w:val="left"/>
      <w:pPr>
        <w:ind w:left="1920" w:hanging="9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6B5F31"/>
    <w:multiLevelType w:val="hybridMultilevel"/>
    <w:tmpl w:val="EA5A4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EFA417AA">
      <w:start w:val="1"/>
      <w:numFmt w:val="taiwaneseCountingThousand"/>
      <w:lvlText w:val="%3、"/>
      <w:lvlJc w:val="left"/>
      <w:pPr>
        <w:ind w:left="1920" w:hanging="9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450597"/>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8A6D22"/>
    <w:multiLevelType w:val="hybridMultilevel"/>
    <w:tmpl w:val="EA5A4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EFA417AA">
      <w:start w:val="1"/>
      <w:numFmt w:val="taiwaneseCountingThousand"/>
      <w:lvlText w:val="%3、"/>
      <w:lvlJc w:val="left"/>
      <w:pPr>
        <w:ind w:left="1920" w:hanging="9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BC5530"/>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4C7F10"/>
    <w:multiLevelType w:val="hybridMultilevel"/>
    <w:tmpl w:val="5EB6FF5C"/>
    <w:lvl w:ilvl="0" w:tplc="3104C9E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130CB1"/>
    <w:multiLevelType w:val="hybridMultilevel"/>
    <w:tmpl w:val="5EB6FF5C"/>
    <w:lvl w:ilvl="0" w:tplc="3104C9E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3C7850"/>
    <w:multiLevelType w:val="hybridMultilevel"/>
    <w:tmpl w:val="EA5A4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EFA417AA">
      <w:start w:val="1"/>
      <w:numFmt w:val="taiwaneseCountingThousand"/>
      <w:lvlText w:val="%3、"/>
      <w:lvlJc w:val="left"/>
      <w:pPr>
        <w:ind w:left="1920" w:hanging="9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61657D"/>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CA11A4"/>
    <w:multiLevelType w:val="hybridMultilevel"/>
    <w:tmpl w:val="EA5A4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EFA417AA">
      <w:start w:val="1"/>
      <w:numFmt w:val="taiwaneseCountingThousand"/>
      <w:lvlText w:val="%3、"/>
      <w:lvlJc w:val="left"/>
      <w:pPr>
        <w:ind w:left="1920" w:hanging="9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8E028B"/>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D02947"/>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CC0416"/>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5D0505"/>
    <w:multiLevelType w:val="hybridMultilevel"/>
    <w:tmpl w:val="6812F3DA"/>
    <w:lvl w:ilvl="0" w:tplc="040CA2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EBF5F25"/>
    <w:multiLevelType w:val="hybridMultilevel"/>
    <w:tmpl w:val="60365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610985"/>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7B694A"/>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4A178D"/>
    <w:multiLevelType w:val="hybridMultilevel"/>
    <w:tmpl w:val="59E04E14"/>
    <w:lvl w:ilvl="0" w:tplc="040CA2B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7CFC146D"/>
    <w:multiLevelType w:val="hybridMultilevel"/>
    <w:tmpl w:val="08D675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D40076"/>
    <w:multiLevelType w:val="hybridMultilevel"/>
    <w:tmpl w:val="21029BD6"/>
    <w:lvl w:ilvl="0" w:tplc="040CA2B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6"/>
  </w:num>
  <w:num w:numId="2">
    <w:abstractNumId w:val="3"/>
  </w:num>
  <w:num w:numId="3">
    <w:abstractNumId w:val="18"/>
  </w:num>
  <w:num w:numId="4">
    <w:abstractNumId w:val="16"/>
  </w:num>
  <w:num w:numId="5">
    <w:abstractNumId w:val="7"/>
  </w:num>
  <w:num w:numId="6">
    <w:abstractNumId w:val="17"/>
  </w:num>
  <w:num w:numId="7">
    <w:abstractNumId w:val="23"/>
  </w:num>
  <w:num w:numId="8">
    <w:abstractNumId w:val="1"/>
  </w:num>
  <w:num w:numId="9">
    <w:abstractNumId w:val="9"/>
  </w:num>
  <w:num w:numId="10">
    <w:abstractNumId w:val="4"/>
  </w:num>
  <w:num w:numId="11">
    <w:abstractNumId w:val="0"/>
  </w:num>
  <w:num w:numId="12">
    <w:abstractNumId w:val="31"/>
  </w:num>
  <w:num w:numId="13">
    <w:abstractNumId w:val="8"/>
  </w:num>
  <w:num w:numId="14">
    <w:abstractNumId w:val="2"/>
  </w:num>
  <w:num w:numId="15">
    <w:abstractNumId w:val="15"/>
  </w:num>
  <w:num w:numId="16">
    <w:abstractNumId w:val="12"/>
  </w:num>
  <w:num w:numId="17">
    <w:abstractNumId w:val="26"/>
  </w:num>
  <w:num w:numId="18">
    <w:abstractNumId w:val="10"/>
  </w:num>
  <w:num w:numId="19">
    <w:abstractNumId w:val="30"/>
  </w:num>
  <w:num w:numId="20">
    <w:abstractNumId w:val="32"/>
  </w:num>
  <w:num w:numId="21">
    <w:abstractNumId w:val="11"/>
  </w:num>
  <w:num w:numId="22">
    <w:abstractNumId w:val="24"/>
  </w:num>
  <w:num w:numId="23">
    <w:abstractNumId w:val="28"/>
  </w:num>
  <w:num w:numId="24">
    <w:abstractNumId w:val="25"/>
  </w:num>
  <w:num w:numId="25">
    <w:abstractNumId w:val="19"/>
  </w:num>
  <w:num w:numId="26">
    <w:abstractNumId w:val="21"/>
  </w:num>
  <w:num w:numId="27">
    <w:abstractNumId w:val="27"/>
  </w:num>
  <w:num w:numId="28">
    <w:abstractNumId w:val="22"/>
  </w:num>
  <w:num w:numId="29">
    <w:abstractNumId w:val="13"/>
  </w:num>
  <w:num w:numId="30">
    <w:abstractNumId w:val="20"/>
  </w:num>
  <w:num w:numId="31">
    <w:abstractNumId w:val="14"/>
  </w:num>
  <w:num w:numId="32">
    <w:abstractNumId w:val="29"/>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DF"/>
    <w:rsid w:val="00017088"/>
    <w:rsid w:val="00021A8F"/>
    <w:rsid w:val="00022630"/>
    <w:rsid w:val="000238E9"/>
    <w:rsid w:val="00025128"/>
    <w:rsid w:val="00030432"/>
    <w:rsid w:val="00040C3A"/>
    <w:rsid w:val="000451D0"/>
    <w:rsid w:val="000462E3"/>
    <w:rsid w:val="00051185"/>
    <w:rsid w:val="000554FD"/>
    <w:rsid w:val="00056CDD"/>
    <w:rsid w:val="000921E5"/>
    <w:rsid w:val="000A3FE5"/>
    <w:rsid w:val="000B0C10"/>
    <w:rsid w:val="000B1DAC"/>
    <w:rsid w:val="000C5DF1"/>
    <w:rsid w:val="000D0699"/>
    <w:rsid w:val="000D3E99"/>
    <w:rsid w:val="000E73C9"/>
    <w:rsid w:val="000F6B8A"/>
    <w:rsid w:val="00122EE5"/>
    <w:rsid w:val="00122FC9"/>
    <w:rsid w:val="00123CC8"/>
    <w:rsid w:val="00140C6F"/>
    <w:rsid w:val="001453DC"/>
    <w:rsid w:val="001467B1"/>
    <w:rsid w:val="0015377B"/>
    <w:rsid w:val="001602BF"/>
    <w:rsid w:val="00172442"/>
    <w:rsid w:val="0017448D"/>
    <w:rsid w:val="001753E7"/>
    <w:rsid w:val="00177BB9"/>
    <w:rsid w:val="00184349"/>
    <w:rsid w:val="00185010"/>
    <w:rsid w:val="001A386B"/>
    <w:rsid w:val="001B1C36"/>
    <w:rsid w:val="001C0E78"/>
    <w:rsid w:val="001D203B"/>
    <w:rsid w:val="001D4E8E"/>
    <w:rsid w:val="001D7940"/>
    <w:rsid w:val="001E698A"/>
    <w:rsid w:val="001F41F3"/>
    <w:rsid w:val="00214204"/>
    <w:rsid w:val="00216AD7"/>
    <w:rsid w:val="002211C6"/>
    <w:rsid w:val="00221268"/>
    <w:rsid w:val="002427AA"/>
    <w:rsid w:val="002538DB"/>
    <w:rsid w:val="00256B9D"/>
    <w:rsid w:val="0027377D"/>
    <w:rsid w:val="00277757"/>
    <w:rsid w:val="00280DCD"/>
    <w:rsid w:val="00284FCE"/>
    <w:rsid w:val="0028647E"/>
    <w:rsid w:val="00286DDB"/>
    <w:rsid w:val="00296EDD"/>
    <w:rsid w:val="00297B44"/>
    <w:rsid w:val="002A2A93"/>
    <w:rsid w:val="002B3CFD"/>
    <w:rsid w:val="002C7580"/>
    <w:rsid w:val="002E4881"/>
    <w:rsid w:val="002E6B7C"/>
    <w:rsid w:val="002F0657"/>
    <w:rsid w:val="00311638"/>
    <w:rsid w:val="0031308E"/>
    <w:rsid w:val="003138DD"/>
    <w:rsid w:val="00315EDD"/>
    <w:rsid w:val="00326F24"/>
    <w:rsid w:val="00327963"/>
    <w:rsid w:val="003353B4"/>
    <w:rsid w:val="00341FCD"/>
    <w:rsid w:val="00342D33"/>
    <w:rsid w:val="00346E00"/>
    <w:rsid w:val="00355D3B"/>
    <w:rsid w:val="003649E9"/>
    <w:rsid w:val="00365E4E"/>
    <w:rsid w:val="00372911"/>
    <w:rsid w:val="00377899"/>
    <w:rsid w:val="003845C1"/>
    <w:rsid w:val="00385BBB"/>
    <w:rsid w:val="00390769"/>
    <w:rsid w:val="00390DBD"/>
    <w:rsid w:val="00390E36"/>
    <w:rsid w:val="003A194F"/>
    <w:rsid w:val="003A7F14"/>
    <w:rsid w:val="003B0C7D"/>
    <w:rsid w:val="003B1947"/>
    <w:rsid w:val="003B1F93"/>
    <w:rsid w:val="003B3C97"/>
    <w:rsid w:val="003B5E4A"/>
    <w:rsid w:val="003D1C8B"/>
    <w:rsid w:val="003D3C5F"/>
    <w:rsid w:val="003D4797"/>
    <w:rsid w:val="004030EC"/>
    <w:rsid w:val="00403312"/>
    <w:rsid w:val="004045D6"/>
    <w:rsid w:val="00416BAC"/>
    <w:rsid w:val="00425F92"/>
    <w:rsid w:val="00433C50"/>
    <w:rsid w:val="004363EF"/>
    <w:rsid w:val="00445EA6"/>
    <w:rsid w:val="00447148"/>
    <w:rsid w:val="00450702"/>
    <w:rsid w:val="004611CF"/>
    <w:rsid w:val="00463BE3"/>
    <w:rsid w:val="004722E9"/>
    <w:rsid w:val="00485C68"/>
    <w:rsid w:val="004A445D"/>
    <w:rsid w:val="004A6E71"/>
    <w:rsid w:val="004A756D"/>
    <w:rsid w:val="004B258D"/>
    <w:rsid w:val="004C2943"/>
    <w:rsid w:val="004D2138"/>
    <w:rsid w:val="004D2580"/>
    <w:rsid w:val="004D39C7"/>
    <w:rsid w:val="004D5431"/>
    <w:rsid w:val="004D5DF4"/>
    <w:rsid w:val="004E52CD"/>
    <w:rsid w:val="0051198E"/>
    <w:rsid w:val="00524A49"/>
    <w:rsid w:val="0053494E"/>
    <w:rsid w:val="0054499C"/>
    <w:rsid w:val="0055223D"/>
    <w:rsid w:val="00564F98"/>
    <w:rsid w:val="00570306"/>
    <w:rsid w:val="00574AAE"/>
    <w:rsid w:val="00584A96"/>
    <w:rsid w:val="00592991"/>
    <w:rsid w:val="005A6342"/>
    <w:rsid w:val="005B0126"/>
    <w:rsid w:val="005B5913"/>
    <w:rsid w:val="005C6CCC"/>
    <w:rsid w:val="005C72BD"/>
    <w:rsid w:val="005D3331"/>
    <w:rsid w:val="005E1C32"/>
    <w:rsid w:val="005E3FBE"/>
    <w:rsid w:val="005E7EF5"/>
    <w:rsid w:val="00603A43"/>
    <w:rsid w:val="00605E13"/>
    <w:rsid w:val="00610656"/>
    <w:rsid w:val="00615DCF"/>
    <w:rsid w:val="0063270D"/>
    <w:rsid w:val="0063273E"/>
    <w:rsid w:val="0065363C"/>
    <w:rsid w:val="00674130"/>
    <w:rsid w:val="006757C0"/>
    <w:rsid w:val="006826C4"/>
    <w:rsid w:val="006923C2"/>
    <w:rsid w:val="00696D6F"/>
    <w:rsid w:val="006B135B"/>
    <w:rsid w:val="006B5289"/>
    <w:rsid w:val="006C12BC"/>
    <w:rsid w:val="006C4BD5"/>
    <w:rsid w:val="006D067B"/>
    <w:rsid w:val="006D4CF9"/>
    <w:rsid w:val="00703D4A"/>
    <w:rsid w:val="007148EB"/>
    <w:rsid w:val="00733EDB"/>
    <w:rsid w:val="00740B3F"/>
    <w:rsid w:val="0074335B"/>
    <w:rsid w:val="00743E5F"/>
    <w:rsid w:val="00762007"/>
    <w:rsid w:val="007621EF"/>
    <w:rsid w:val="00762E98"/>
    <w:rsid w:val="00765D96"/>
    <w:rsid w:val="00790C9B"/>
    <w:rsid w:val="00796E9A"/>
    <w:rsid w:val="007A00BA"/>
    <w:rsid w:val="007B70D2"/>
    <w:rsid w:val="007C6301"/>
    <w:rsid w:val="007D706D"/>
    <w:rsid w:val="007E27DD"/>
    <w:rsid w:val="007F67B9"/>
    <w:rsid w:val="00805523"/>
    <w:rsid w:val="008143CD"/>
    <w:rsid w:val="00816DF6"/>
    <w:rsid w:val="008316CC"/>
    <w:rsid w:val="008417E8"/>
    <w:rsid w:val="0087050B"/>
    <w:rsid w:val="00874F7C"/>
    <w:rsid w:val="00887AE4"/>
    <w:rsid w:val="008A53AF"/>
    <w:rsid w:val="008A5D76"/>
    <w:rsid w:val="008A7EA8"/>
    <w:rsid w:val="008B7A80"/>
    <w:rsid w:val="008D01CB"/>
    <w:rsid w:val="008D5793"/>
    <w:rsid w:val="008E6EFE"/>
    <w:rsid w:val="00903765"/>
    <w:rsid w:val="00905212"/>
    <w:rsid w:val="009126EC"/>
    <w:rsid w:val="00912E27"/>
    <w:rsid w:val="00920B82"/>
    <w:rsid w:val="00926408"/>
    <w:rsid w:val="009359EE"/>
    <w:rsid w:val="00936366"/>
    <w:rsid w:val="009402D2"/>
    <w:rsid w:val="00940E3C"/>
    <w:rsid w:val="009449C7"/>
    <w:rsid w:val="009459DF"/>
    <w:rsid w:val="00953054"/>
    <w:rsid w:val="009577A6"/>
    <w:rsid w:val="00962C1E"/>
    <w:rsid w:val="009659FC"/>
    <w:rsid w:val="00971A72"/>
    <w:rsid w:val="00976E1B"/>
    <w:rsid w:val="00977BA7"/>
    <w:rsid w:val="0098201E"/>
    <w:rsid w:val="00991B99"/>
    <w:rsid w:val="00996AFF"/>
    <w:rsid w:val="009A23DC"/>
    <w:rsid w:val="009B120D"/>
    <w:rsid w:val="009B1C6F"/>
    <w:rsid w:val="009B6504"/>
    <w:rsid w:val="009C4E15"/>
    <w:rsid w:val="009D64EE"/>
    <w:rsid w:val="009E397E"/>
    <w:rsid w:val="009E56CF"/>
    <w:rsid w:val="00A0772A"/>
    <w:rsid w:val="00A14E0E"/>
    <w:rsid w:val="00A248CE"/>
    <w:rsid w:val="00A25D17"/>
    <w:rsid w:val="00A27F77"/>
    <w:rsid w:val="00A31B33"/>
    <w:rsid w:val="00A3287F"/>
    <w:rsid w:val="00A47BF1"/>
    <w:rsid w:val="00A57017"/>
    <w:rsid w:val="00A74687"/>
    <w:rsid w:val="00A82121"/>
    <w:rsid w:val="00A916EF"/>
    <w:rsid w:val="00AB5395"/>
    <w:rsid w:val="00AB6119"/>
    <w:rsid w:val="00AC1779"/>
    <w:rsid w:val="00AC5CE9"/>
    <w:rsid w:val="00AE3B44"/>
    <w:rsid w:val="00AE4DE1"/>
    <w:rsid w:val="00AF2F2F"/>
    <w:rsid w:val="00AF7B3A"/>
    <w:rsid w:val="00B06F10"/>
    <w:rsid w:val="00B12939"/>
    <w:rsid w:val="00B22D11"/>
    <w:rsid w:val="00B53EA0"/>
    <w:rsid w:val="00B7263E"/>
    <w:rsid w:val="00B73CB1"/>
    <w:rsid w:val="00B75F24"/>
    <w:rsid w:val="00B80AE1"/>
    <w:rsid w:val="00B81DE5"/>
    <w:rsid w:val="00B8492B"/>
    <w:rsid w:val="00B84E82"/>
    <w:rsid w:val="00B862A3"/>
    <w:rsid w:val="00BB2D00"/>
    <w:rsid w:val="00BB660C"/>
    <w:rsid w:val="00BC57EB"/>
    <w:rsid w:val="00BC77B6"/>
    <w:rsid w:val="00BD21EB"/>
    <w:rsid w:val="00BD41DD"/>
    <w:rsid w:val="00BE3A91"/>
    <w:rsid w:val="00BE4D6E"/>
    <w:rsid w:val="00BF2771"/>
    <w:rsid w:val="00C05B80"/>
    <w:rsid w:val="00C12CF0"/>
    <w:rsid w:val="00C178BE"/>
    <w:rsid w:val="00C2010F"/>
    <w:rsid w:val="00C21152"/>
    <w:rsid w:val="00C246FD"/>
    <w:rsid w:val="00C26F1A"/>
    <w:rsid w:val="00C31AAB"/>
    <w:rsid w:val="00C41B3A"/>
    <w:rsid w:val="00C46521"/>
    <w:rsid w:val="00C60A80"/>
    <w:rsid w:val="00C64193"/>
    <w:rsid w:val="00C77AB7"/>
    <w:rsid w:val="00C77D60"/>
    <w:rsid w:val="00C80204"/>
    <w:rsid w:val="00C86EF9"/>
    <w:rsid w:val="00C92B69"/>
    <w:rsid w:val="00C93AD2"/>
    <w:rsid w:val="00CA7B43"/>
    <w:rsid w:val="00CA7C42"/>
    <w:rsid w:val="00CB2B36"/>
    <w:rsid w:val="00CC6805"/>
    <w:rsid w:val="00CD220F"/>
    <w:rsid w:val="00CD3F78"/>
    <w:rsid w:val="00CD403A"/>
    <w:rsid w:val="00CD4060"/>
    <w:rsid w:val="00CD7ECD"/>
    <w:rsid w:val="00CE1375"/>
    <w:rsid w:val="00CE4420"/>
    <w:rsid w:val="00CE6C3D"/>
    <w:rsid w:val="00CF2362"/>
    <w:rsid w:val="00D0620E"/>
    <w:rsid w:val="00D12E65"/>
    <w:rsid w:val="00D16C60"/>
    <w:rsid w:val="00D26300"/>
    <w:rsid w:val="00D26BD3"/>
    <w:rsid w:val="00D4480E"/>
    <w:rsid w:val="00D45600"/>
    <w:rsid w:val="00D60D31"/>
    <w:rsid w:val="00D65475"/>
    <w:rsid w:val="00D80B87"/>
    <w:rsid w:val="00D842DE"/>
    <w:rsid w:val="00D84835"/>
    <w:rsid w:val="00D87D15"/>
    <w:rsid w:val="00D90A6F"/>
    <w:rsid w:val="00DA7902"/>
    <w:rsid w:val="00DA7C29"/>
    <w:rsid w:val="00DC56F4"/>
    <w:rsid w:val="00DD0C8E"/>
    <w:rsid w:val="00DE63A9"/>
    <w:rsid w:val="00DF1DBE"/>
    <w:rsid w:val="00E02C40"/>
    <w:rsid w:val="00E12751"/>
    <w:rsid w:val="00E24F5E"/>
    <w:rsid w:val="00E36449"/>
    <w:rsid w:val="00E40C72"/>
    <w:rsid w:val="00E449EB"/>
    <w:rsid w:val="00E50426"/>
    <w:rsid w:val="00E70BD6"/>
    <w:rsid w:val="00E857D6"/>
    <w:rsid w:val="00E961D0"/>
    <w:rsid w:val="00EA7C53"/>
    <w:rsid w:val="00EB5861"/>
    <w:rsid w:val="00ED68C4"/>
    <w:rsid w:val="00EE5560"/>
    <w:rsid w:val="00EF232C"/>
    <w:rsid w:val="00EF497D"/>
    <w:rsid w:val="00EF796D"/>
    <w:rsid w:val="00F116A5"/>
    <w:rsid w:val="00F12108"/>
    <w:rsid w:val="00F27775"/>
    <w:rsid w:val="00F36919"/>
    <w:rsid w:val="00F41E34"/>
    <w:rsid w:val="00F468A8"/>
    <w:rsid w:val="00F60562"/>
    <w:rsid w:val="00F671C4"/>
    <w:rsid w:val="00F74DEE"/>
    <w:rsid w:val="00F8732A"/>
    <w:rsid w:val="00F874F5"/>
    <w:rsid w:val="00FA354F"/>
    <w:rsid w:val="00FB3EC7"/>
    <w:rsid w:val="00FB63CC"/>
    <w:rsid w:val="00FB7037"/>
    <w:rsid w:val="00FC21F3"/>
    <w:rsid w:val="00FC7416"/>
    <w:rsid w:val="00FC7EBC"/>
    <w:rsid w:val="00FD3DD9"/>
    <w:rsid w:val="00FF3B30"/>
    <w:rsid w:val="00FF54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DE78D"/>
  <w15:docId w15:val="{80CE30FE-4B23-4CBD-8733-E4AAB034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51D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字元 字元 字元 字元 字元 字元 字元 字元 字元 字元 字元"/>
    <w:basedOn w:val="a"/>
    <w:rsid w:val="009459DF"/>
    <w:pPr>
      <w:widowControl/>
      <w:spacing w:after="160" w:line="240" w:lineRule="exact"/>
    </w:pPr>
    <w:rPr>
      <w:rFonts w:ascii="Tahoma" w:hAnsi="Tahoma"/>
      <w:kern w:val="0"/>
      <w:sz w:val="20"/>
      <w:szCs w:val="20"/>
      <w:lang w:eastAsia="en-US"/>
    </w:rPr>
  </w:style>
  <w:style w:type="paragraph" w:styleId="a5">
    <w:name w:val="header"/>
    <w:basedOn w:val="a"/>
    <w:link w:val="a6"/>
    <w:uiPriority w:val="99"/>
    <w:unhideWhenUsed/>
    <w:rsid w:val="00450702"/>
    <w:pPr>
      <w:tabs>
        <w:tab w:val="center" w:pos="4153"/>
        <w:tab w:val="right" w:pos="8306"/>
      </w:tabs>
      <w:snapToGrid w:val="0"/>
    </w:pPr>
    <w:rPr>
      <w:sz w:val="20"/>
      <w:szCs w:val="20"/>
    </w:rPr>
  </w:style>
  <w:style w:type="character" w:customStyle="1" w:styleId="a6">
    <w:name w:val="頁首 字元"/>
    <w:basedOn w:val="a0"/>
    <w:link w:val="a5"/>
    <w:uiPriority w:val="99"/>
    <w:rsid w:val="00450702"/>
    <w:rPr>
      <w:kern w:val="2"/>
    </w:rPr>
  </w:style>
  <w:style w:type="paragraph" w:styleId="a7">
    <w:name w:val="footer"/>
    <w:basedOn w:val="a"/>
    <w:link w:val="a8"/>
    <w:uiPriority w:val="99"/>
    <w:unhideWhenUsed/>
    <w:rsid w:val="00450702"/>
    <w:pPr>
      <w:tabs>
        <w:tab w:val="center" w:pos="4153"/>
        <w:tab w:val="right" w:pos="8306"/>
      </w:tabs>
      <w:snapToGrid w:val="0"/>
    </w:pPr>
    <w:rPr>
      <w:sz w:val="20"/>
      <w:szCs w:val="20"/>
    </w:rPr>
  </w:style>
  <w:style w:type="character" w:customStyle="1" w:styleId="a8">
    <w:name w:val="頁尾 字元"/>
    <w:basedOn w:val="a0"/>
    <w:link w:val="a7"/>
    <w:uiPriority w:val="99"/>
    <w:rsid w:val="00450702"/>
    <w:rPr>
      <w:kern w:val="2"/>
    </w:rPr>
  </w:style>
  <w:style w:type="paragraph" w:styleId="a9">
    <w:name w:val="List Paragraph"/>
    <w:basedOn w:val="a"/>
    <w:uiPriority w:val="34"/>
    <w:qFormat/>
    <w:rsid w:val="004A756D"/>
    <w:pPr>
      <w:ind w:leftChars="200" w:left="480"/>
    </w:pPr>
  </w:style>
  <w:style w:type="paragraph" w:styleId="aa">
    <w:name w:val="Balloon Text"/>
    <w:basedOn w:val="a"/>
    <w:link w:val="ab"/>
    <w:uiPriority w:val="99"/>
    <w:semiHidden/>
    <w:unhideWhenUsed/>
    <w:rsid w:val="0028647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864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45995-0886-4D3D-9E2B-23871BCD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769</Characters>
  <Application>Microsoft Office Word</Application>
  <DocSecurity>0</DocSecurity>
  <Lines>6</Lines>
  <Paragraphs>1</Paragraphs>
  <ScaleCrop>false</ScaleCrop>
  <Company>C.M.T</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User</cp:lastModifiedBy>
  <cp:revision>3</cp:revision>
  <cp:lastPrinted>2022-10-08T08:54:00Z</cp:lastPrinted>
  <dcterms:created xsi:type="dcterms:W3CDTF">2022-10-12T06:40:00Z</dcterms:created>
  <dcterms:modified xsi:type="dcterms:W3CDTF">2023-06-07T02:28:00Z</dcterms:modified>
</cp:coreProperties>
</file>